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ԵԱՍՄ-ԷԱՃԱՊՁԲ-26/16 ծածկագրով ներկանյութերի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ԵԱՍՄ-ԷԱՃԱՊՁԲ-26/16 ծածկագրով ներկանյութերի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ԵԱՍՄ-ԷԱՃԱՊՁԲ-26/16 ծածկագրով ներկանյութերի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ԵԱՍՄ-ԷԱՃԱՊՁԲ-26/16 ծածկագրով ներկանյութերի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համաար նախատեսված ակրիլային ներկ իր պնդեցուցիչով (թույն), գույնը՝ օրանժ, 0,8-1,0 կգ տարրաներով, պիտանելիության ժամկետը մատակարարման պահից առնվազն երկու տարի, մատակարարվելիք ներկի երանգը մինչ մատակարարումը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համաար նախատեսված ակրիլային ներկ իր պնդեցուցիչով (թույն), գույնը՝ սպիտակ, 0,8-1,0 կգ տարրաներով, պիտանելիության ժամկետը մատակարարման պահից առնվազն երկու տարի, մատակարարվելիք ներկի երանգը մինչ մատակարարումը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համաար նախատեսված ակրիլային ներկ իր պնդեցուցիչով (թույն), գույնը՝ մոխրագույն, 0,8-1,0 կգ տարրաներով, պիտանելիության ժամկետը մատակարարման պահից առնվազն երկու տարի, մատակարարվելիք ներկի երանգը մինչ մատակարարումը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օգտագործվում է բոլոր տեսակի նիտրո-ցելյուլոզային ներկերի, նախաներկերի ու լաքերի լուծման, ինչպես նաև օգտագործված գործիքների և սարքերի մաքրման համար: Մատակարարվելիք ապրանքները պետք է լինեն 1-2 լիտրանոց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