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ԵՄ-ԷԱՃԱՊՁԲ-26/26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Лаура Айрапетян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ԵՄ-ԷԱՃԱՊՁԲ-26/26</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ԵՄ-ԷԱՃԱՊՁԲ-26/26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ԵՄ-ԷԱՃԱՊՁԲ-26/26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ԵՄ-ԷԱՃԱՊՁԲ-26/26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_15__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 остатке — не более 0,3%. Вязкость при 40°C — от 2,0 до 4,5 мм²/с. Температура помутнения — не выше 5°C.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Поставка должна осуществляться по талонам, которые обслуживаются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Октановое число, определенное исследовательским методом, — не менее 91, моторным методом — не менее 81.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21%, олефины — 21%,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Талоны должны обслуживаться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Октановое число, определенное исследовательским методом, — не менее 95, моторным методом — не менее 85.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(талонами по 10 л и 20 л). Срок действия талонов — не менее до 31.12.2027 г.
Наличие автозаправочных станций во всех городах Республики Армения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