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ամպային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010 590075</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arsen.melkonyan@hti.am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ամպային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ամպային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ամպային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377.41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4.6571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432.96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2026.03.30.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15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ԲՏԱՆ-ԷԱՃԾՁԲ-2026/04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ԲՏԱՆ-ԷԱՃԾՁԲ-2026/04</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«ԲՏԱՆ-ԷԱՃԾՁԲ-2026/04»*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ԲԱՐՁՐ ՏԵԽՆՈԼՈԳԻԱԿԱՆ ԱՐԴՅՈՒՆԱԲԵՐՈՒԹՅԱՆ ՆԱԽԱՐԱՐՈՒԹՅՈՒՆ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ԲՏԱՆ-ԷԱՃԾՁԲ-2026/04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«ԲՏԱՆ-ԷԱՃԾՁԲ-2026/04»*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ԲԱՐՁՐ ՏԵԽՆՈԼՈԳԻԱԿԱՆ ԱՐԴՅՈՒՆԱԲԵՐՈՒԹՅԱՆ ՆԱԽԱՐԱՐՈՒԹՅՈՒՆ</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ԲՏԱՆ-ԷԱՃԾՁԲ-2026/04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«ԲՏԱՆ-ԷԱՃԾՁԲ-2026/04»*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ԲՏԱՆ-ԷԱՃԾՁԲ-2026/04*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ԲՏԱՆ-ԷԱՃԾՁԲ-2026/04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«ԲՏԱՆ-ԷԱՃԾՁԲ-2026/04»*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ԲՏԱՆ-ԷԱՃԾՁԲ-2026/04*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	V-CPU
·	RAM
·	Storage SSD
·	Տվյալների պահուստավորում Back up
·	Data link ծառայություն  
(Վազգեն Սարգսյան փ․ 3/3 և ՏՄԿ միջև  full redundancy տարբերակով )
·	Համցանցի ծառայություն 
(Վազգեն Սարգսյան փ․ 3/3 և ՏՄԿ միջև  full redundancy տարբերակով )
( Ամպային ծառայության մատուցումը պետք է լինի 24/7 ռեժիմով 365 օրվա ընթացքում: Հասանալիությունը (անխափան աշխատանքը) պետք է լինի տարեկան 99.8 (+/- 0.1)  տոկոսից ավելի։
Վճարումն իրականացվում է փաստացի մատուցված ծառայությունների դիմաց:
Մասնակիցը պետք է ներկայացնի գնի բացվածք ամսական կտրվածքով (Հավելված 1․1)։ )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մշակման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մատուցումն իրականացվում է այդ նպատակով hամապատասխան ֆինանսական միջոցներ նախատեսվելու դեպքում՝ կողմերի միջև կնքվող համաձայնագիրը ուժի մեջ մտնելուց հետո  20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