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ՀՀ-ԼՄՍՀ-ԷԱՃԱՊՁԲ-26/04</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строительных материалов для нужд Степанаванской общины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Размеры – 60х120 см
• Толщина – от 9,5 мм до 10,5 мм
• Цвет – небесно-голубой, светло-голубой
• Поверхность – глянцевая
• Применение – бассейны, плавательные бассейны
• Водопоглощение – от 0,5% до 1%
• Твердость – 3-6 единиц
• Точность размеров – отклонение по ширине и длине не должно превышать ± 0,5%
• Плоскостность поверхности – допустимое отклонение до ± 5%
• Морозостойкость – плитка должна выдерживать многократные циклы замерзания и оттаивания без повреждений
• Химическая стойкость – плитка должна быть устойчива к бытовой химии и кислотам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мая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Размеры – стандартные
• Толщина – от 4 мм до 9,5 мм
• Цвет – синий, светло-синий
• Поверхность – глянцевая
• Применение – бассейны, плавательные бассейны
• Водопоглощение – от 0,5% до 1%
• Твердость – 3-6 единиц
• Химическая стойкость – плитка должна быть устойчива к бытовым химикатам и кислотам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мая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Характеристики - высокая адгезия, водостойкость и морозостойкость клея.
• Применение - для керамогранита, клинкера и натурального камня.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мая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Эпоксидная затирка (Epoxy Grout)  – высокая адгезия, водостойкость и морозостойкость.
• Применение – для керамогранита, клинкера и натурального камня.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мая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 погружной
• Высота подъема насоса – 1,2–1,8 метра
• Мощность – 800–1200 Вт
• Питание – 220 В
• Соединительный кабель – 20 м
• Класс изоляции – выше IP68
• Предварительный фильтр доступен
Гарантийный срок составляет 365 календарных дней со дня, следующего за датой приемки товара.
   Срок исполнения договора устанавливается в период с даты заключения договора до 20 мая 2026 года.
   Товар должен быть пригоден для использования; непригодный товар должен быть заменен поставщиком на новый.
   Поставщик также должен предоставить информацию о товарном знаке,  производителе, модели и торговой марке товара.
  Поставщик должен согласовать с заказчиком образец товара до поставки.
  Поставка должна быть осуществлена своевременно,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Прессованный гранит или фарфоровая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Мозаика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Заполнитель для плиточных швов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Фонтанные насосы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