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масел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purchase@ytpc.am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47-26-11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ԵՋԷԿ-ԷԱՃԱՊՁԲ-26/17</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масел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масел</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purchase@ytpc.am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масел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Lubrizol CPI CP-15-16-100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Mobil DTE 10 Excel 46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1460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
      </w:r>
      <w:r w:rsidRPr="00E4651F">
        <w:rPr>
          <w:rFonts w:cstheme="minorHAnsi"/>
          <w:color w:val="000000" w:themeColor="text1"/>
          <w:lang w:val="ru-RU"/>
        </w:rPr>
        <w:t xml:space="preserve"> (</w:t>
      </w:r>
      <w:r w:rsidR="00091D85" w:rsidRPr="00091D85">
        <w:rPr>
          <w:rFonts w:cstheme="minorHAnsi"/>
          <w:lang w:val="hy-AM"/>
        </w:rPr>
        <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ноль целых пятнадцать сотых</w:t>
      </w:r>
      <w:r w:rsidRPr="00E4651F">
        <w:rPr>
          <w:rFonts w:cstheme="minorHAnsi"/>
          <w:color w:val="000000" w:themeColor="text1"/>
          <w:lang w:val="ru-RU"/>
        </w:rPr>
        <w:t>(</w:t>
      </w:r>
      <w:r w:rsidR="00987B00" w:rsidRPr="00987B00">
        <w:rPr>
          <w:rFonts w:cstheme="minorHAnsi"/>
          <w:lang w:val="hy-AM"/>
        </w:rPr>
        <w:t>0,05</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ноль целых пять сотых</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8.6. Если договор осуществляется посредством заключения агентского договора:</w:t>
      </w:r>
    </w:p>
    <w:p w:rsidR="00812F10" w:rsidRPr="00E4651F" w:rsidRDefault="001B6358" w:rsidP="00F42783">
      <w:pPr>
        <w:tabs>
          <w:tab w:val="left" w:pos="1276"/>
        </w:tabs>
        <w:rPr>
          <w:rFonts w:cstheme="minorHAnsi"/>
        </w:rPr>
      </w:pPr>
      <w:r w:rsidRPr="001B6358">
        <w:rPr>
          <w:rFonts w:cstheme="minorHAnsi"/>
          <w:lang w:val="hy-AM"/>
        </w:rPr>
        <w:lastRenderedPageBreak/>
        <w:t>1) Продавец несет ответственность за неисполнение или ненадлежащее исполнение обязательств агента;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Lubrizol CPI CP-15-16-100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Lubrizol CPI CP1516-100.  для доливки  масла в газового компрессора
Вязкость при 400°C ASTM D445 - -92,3
Вязкость при 1000С сс -18,6
Вязкость 1000F, SUS – 464
Вязкость 2100F, SUS – 94,3
Индекс вязкости QASTM D2270 -223
Плотность фунт/галлон при температуре 600F -8,27
Температура замерзания 0F/0C/ASTM D97—  40/-40/
Температура вспышки 0F/0C/-500 ASTM D92 (260)
Температура горения 0F/0C/ - 530, ASTM D92 (277)
Удельный вес ASTM D1298 -  0,992
Бочка с маслом должна быть опломбирована, должен быть представлен документ о соответствии качества масла от завода-производителя, масло должно быть изготовлено в 2025 году срок годности не менее 4 лет. Вместе с товаром необходимо предоставить сертификат соответствия качества, информация о производителе, страны производства и сроке изготовления. При согласии сторон товар может быть поставлен раньше установленного срока. За день до поставки об этом уведомить Заказчика. Транспортировка и разгрузка товара выполняется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Mobil DTE 10 Excel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Mobil DTE 10 Excel 46 для доливки  в работающее оборудование
Класс вязкости ISO - 46
Вязкость при температуре 20°C по Брукфилду, ASTM D2983 - 1900
Вязкость при температуре 30°C по Брукфилду, ASTM D2983 - 6790
Вязкость при температуре 40°C по Брукфилду, ASTM D2983 - 125000
Коррозия медь-олово в течение 3 часов при 10°C, ASTM D130-1B
Плотность при 15°C, кг/л, ASTM D4052-0,851
Диэлектрическая прочность, кВ, ASTM D877-41
Температура воспламенения, °C, ASTM D92-232
Испытания на пенообразование, последовательность I: тенденция/стабильность, мл, ASTM D892-20/0
Испытания на пенообразование, последовательность II: тенденция/стабильность, мл, ASTM D892- 20/0
Испытания на пенообразование, Последовательность III. Тенденция/стабильность, мл, ASTM D892-20/0
Кинематическая вязкость при 100°C, мм²/с, ASTM D445-8,4
Кинематическая вязкость при 40°C, мм²/с, ASTM D445-45,7
Температура замерзания при 0°C, ASTM D97-45
Стабильность при вытеснении, потеря вязкости /1000°C/, %, CEC L-45-A-99-8
Индекс вязкости, ASTM D2270-163
Бочка с маслом должна быть опломбирована, должен быть представлен документ о соответствии качества масла от завода-производителя. Вместе с товаром необходимо предоставить сертификат соответствия качества, информация о производителе, страны производства и сроке изготовления. При согласии сторон товар может быть поставлен раньше установленного срока. Транспортировка и разгрузка товара выполняется Поставщиком. Бочка масла должна быть опломбирована, необходимо представить документ соответствия качества масла от завода производителя.За день до поставки об этом уведомить Покупателя.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Lubrizol CPI CP-15-16-100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Mobil DTE 10 Excel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