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ԲՏԱՆ-ԷԱՃԾՁԲ-2026/05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ԲԱՐՁՐ ՏԵԽՆՈԼՈԳԻԱԿԱՆ ԱՐԴՅՈՒՆԱԲԵՐՈՒԹՅԱՆ ՆԱԽԱՐԱՐՈՒԹՅՈՒՆ</w:t>
      </w:r>
      <w:r w:rsidRPr="002C08AA">
        <w:rPr>
          <w:rFonts w:ascii="Calibri" w:hAnsi="Calibri" w:cs="Calibri"/>
          <w:i w:val="0"/>
          <w:lang w:val="af-ZA"/>
        </w:rPr>
        <w:t xml:space="preserve">, որը գտնվում է </w:t>
      </w:r>
      <w:r w:rsidR="00B974F2" w:rsidRPr="00B974F2">
        <w:rPr>
          <w:rFonts w:ascii="Calibri" w:hAnsi="Calibri" w:cs="Calibri"/>
          <w:i w:val="0"/>
          <w:lang w:val="af-ZA"/>
        </w:rPr>
        <w:t>Վազգեն Սարգսյան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լիցենզիանների կառավարման համակարգչային ծրագրային փաթեթների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Արսեն Մելքոնյան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010 590075</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arsen.melkonyan@hti.am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ԲԱՐՁՐ ՏԵԽՆՈԼՈԳԻԱԿԱՆ ԱՐԴՅՈՒՆԱԲԵՐՈՒԹՅԱՆ ՆԱԽԱՐԱՐՈՒԹՅՈՒՆ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ԲՏԱՆ-ԷԱՃԾՁԲ-2026/05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ԲԱՐՁՐ ՏԵԽՆՈԼՈԳԻԱԿԱՆ ԱՐԴՅՈՒՆԱԲԵՐՈՒԹՅԱՆ ՆԱԽԱՐԱՐՈՒԹՅՈՒՆ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ԲԱՐՁՐ ՏԵԽՆՈԼՈԳԻԱԿԱՆ ԱՐԴՅՈՒՆԱԲԵՐՈՒԹՅԱՆ ՆԱԽԱՐԱՐՈՒԹՅՈՒՆ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լիցենզիանների կառավարման համակարգչային ծրագրային փաթեթների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ԲԱՐՁՐ ՏԵԽՆՈԼՈԳԻԱԿԱՆ ԱՐԴՅՈՒՆԱԲԵՐՈՒԹՅԱՆ ՆԱԽԱՐԱՐՈՒԹՅՈՒՆ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լիցենզիանների կառավարման համակարգչային ծրագրային փաթեթների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ԲՏԱՆ-ԷԱՃԾՁԲ-2026/05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arsen.melkonyan@hti.am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լիցենզիանների կառավարման համակարգչային ծրագրային փաթեթների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377.39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4.5256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435.55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2026.03.31.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ԲՏԱՆ-ԷԱՃԾՁԲ-2026/05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ԲԱՐՁՐ ՏԵԽՆՈԼՈԳԻԱԿԱՆ ԱՐԴՅՈՒՆԱԲԵՐՈՒԹՅԱՆ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ԲՏԱՆ-ԷԱՃԾՁԲ-2026/05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ԲՏԱՆ-ԷԱՃԾՁԲ-2026/05</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«ԲՏԱՆ-ԷԱՃԾՁԲ-2026/05»*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«ԲՏԱՆ-ԷԱՃԾՁԲ-2026/05»*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ԲԱՐՁՐ ՏԵԽՆՈԼՈԳԻԱԿԱՆ ԱՐԴՅՈՒՆԱԲԵՐՈՒԹՅԱՆ ՆԱԽԱՐԱՐՈՒԹՅՈՒՆ*  (այսուհետ` Պատվիրատու) կողմից կազմակերպված` ԲՏԱՆ-ԷԱՃԾՁԲ-2026/05*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ԲԱՐՁՐ ՏԵԽՆՈԼՈԳԻԱԿԱՆ ԱՐԴՅՈՒՆԱԲԵՐՈՒԹՅԱՆ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- 02565518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Լիցենզիանների կառավարման համակարգչային ծրագրային փաթեթներ
(Հաջորդ սերնդի հրեպատ վիրտուալ տարբերակով
· (FortiGate VM16 NGFW - virtual appliance with UTP license for 1 year), Ծրագրային ապահովման ծառայությանը մատուցումը պետք է լինի 24/7 ռեժիմով 365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Լիցենզիանների կառավարման համակարգչային ծրագրային փաթեթներ
(Ծրագրային ապահովման անվանումը - Windows Server Standard 2025+ արտոնագիր):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մշակման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մատուցումն իրականացվում է այդ նպատակով hամապատասխան ֆինանսական միջոցներ նախատեսվելու դեպքում՝ կողմերի միջև կնքվող համաձայնագիրը ուժի մեջ մտնելուց հետո  20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մշակման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մատուցումն իրականացվում է այդ նպատակով hամապատասխան ֆինանսական միջոցներ նախատեսվելու դեպքում՝ կողմերի միջև կնքվող համաձայնագիրը ուժի մեջ մտնելուց հետո  20 օրվա ընթացքում:  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