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ԲԿԳԿ-ԷԱՃԱՊՁԲ-26/23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ԲԿԳԿ-ԷԱՃԱՊՁԲ-26/23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ԲԿԳԿ-ԷԱՃԱՊՁԲ-26/23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ԲԿԳԿ-ԷԱՃԱՊՁԲ-26/23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ԲԿԳԿ-ԷԱՃԱՊՁԲ-26/23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ԲԿԳԿ-ԷԱՃԱՊՁԲ-26/23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սպեկտրալ վերլուծիչ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15:30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4.4106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433.14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2026.04.01.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ԲԿԳԿ-ԷԱՃԱՊՁԲ-26/23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ԲԿԳԿ-ԷԱՃԱՊՁԲ-26/23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ԲԿԳԿ-ԷԱՃԱՊՁԲ-26/23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ԲԿԳԿ-ԷԱՃԱՊՁԲ-26/23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ԲԿԳԿ-ԷԱՃԱՊՁԲ-26/23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«ԲԿԳԿ-ԷԱՃԱՊՁԲ-26/23»*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ԲԿԳԿ-ԷԱՃԱՊՁԲ-26/23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«ԲԿԳԿ-ԷԱՃԱՊՁԲ-26/23»*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«ԲԿԳԿ-ԷԱՃԱՊՁԲ-26/23»*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ԲԿԳԿ-ԷԱՃԱՊՁԲ-26/23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«ԲԿԳԿ-ԷԱՃԱՊՁԲ-26/23»*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«ԲԿԳԿ-ԷԱՃԱՊՁԲ-26/23»*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սպեկտրալ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Սպեկտրալ տիրույթ՝ աշխատանքային ալիքի երկարությունների ստորին սահմանը ոչ ավել քան 1 մկմ և վերին սահմանը ոչ պակաս քան 12 մկմ: Սպեկտրոմետրի չափման սկզբունքը՝ Ֆուրիեի ձևափոխոթւյան վրա հիմնված: Առնվազն 2 օպտիկական մուտքային պորտեր՝ FC/PC օպտիկական մանրաթելի և ազատ տարածության համար: Համատեղելիությունը օպտիկական մանրաթելերի հետ՝ բոլոր միամոդ մանրաթելերը, ներառյալ ֆտորային SM: Դինամիկ տիրույթ՝ առնվազն 40 dB: Զգայունության շեմ՝ ոչ ավել քան -30 dBm/nm 1.0 - 2.0 մկմ տիրույթի համար, և ոչ ավել քան -40 dBm/nm 2.0 - 12.0 մկմ տիրույթի համար: Ազատ տարածության պատուհանի նյութը՝ ZnSe: Մանրաթելային միացումով և ազատ տարածության մուտքեր․ մանրաթելային միացումով մուտքը պետք է համատեղելի լինի միամոդ և բազմամոդ FC/PC միացման մանրաթելերի հետ: 
Սիլիկատային բազմամոդ մանրաթելերը՝ առավելագույնը Ø50 մկմ միջուկի տրամագծով և NA ոչ ավել քան 0.22:
Ֆտորային բազմամոդ մանրաթելերը՝ առավելագույնը Ø100 մկմ միջուկի տրամագծով և NA ոչ ավել քան 0.26: Սպեկտրալ լուծունակությունը՝ առավելագույնը 7.5 ԳՀց (0.25 սմ-1): Սպեկտրալ ճշտությունը՝ առավելագույնը ±2 parts per million: Սպեկտրալ ճշգրտությունը՝ 1 parts per million:  Մուտքային հզորության առավելագույն շեմը՝ ոչ պակաս 9.5 մՎտ (9.5 dBm): Ալիքի երկարության արտածման լուծունակությունը՝ առնվազն 9 նիշ: Ալիքի երկարության չափման ճշտությունը՝ ոչ ավել քան ±1 parts per million: Մուտքային հզորության առավելագույն շեմ՝ ոչ պակաս քան 20 mW (13 dBm): Հզորության մակարդակի ճշտությունը՝ ոչ ավել քան ±1 dB: Բևեռացումից կախումը՝ ±1 dB: Տվյալների հավաքման տեխնիկական բնութագրերը (թարմացման ժամանակը/հաճախությունը). փոքր լուծունակության ռեժիմում՝ ցածր զգայունություն՝ առավելագույնը 0.5 վ (առնվազն 1.9 Հց), միջին ցածր զգայունություն՝ առավելագույնը 0.8 վ (առնվազն 1.2 Հց), միջին բարձր զգայունություն՝ առավելագույնը 1.5 վ (առնվազն 0.7 Հց), բարձր զգայունություն՝ առավելագույնը 2.7 վ (առնվազն 0.4 Հց):   Բարձր լուծունակության ռեժիմում՝ ցածր զգայունություն՝ առավելագույնը 1.8 վ (առնվազն 0.6 Հց), միջին ցածր զգայունություն՝ առավելագույնը 2.9 վ (առնվազն 0.3 Հց), միջին բարձր զգայունություն՝ առավելագույնը 5.2 վ (առնվազն 0.2 Հց), բարձր զգայունություն՝ առավելագույնը 9.5 վ (առնվազն 0.1 Հց): Ներքին ավտոմատ կալիբրացիոն համակարգ՝ ներկառուցված էտալոնային լազերով:   Ներառյալ համակարգիչ՝ Windows օպերացիոն համակարգով, մկնիկով, և համապատասխան ծրագրային ապահովման փաթեթով սարքի ղեկավարման համար: Մեծ արագություններ ապահովող USB 2.0 կաբել։ SM05 տիպի պտուտակավոր բանալի ամրացնող օղակների համար, երկարություն՝ առնվազն 1.00 դյույմ։ Վակուումային հավաքման գործիք (վակուումային նրբունելի)՝ առնվազն 10 փոխարինելի ծայրակալներից բաղկացած հավաքածու։ Python SDK և LabVIEW®-ի, C, C++ և C#-ի համար նախատեսված դրայվերների լայն հավաքածու։ Ծրագրային ապահովման ֆունկցիոնալությունը՝ սպեկտրի իրական ժամանակի դիտում, տվյալների արտահանում CSV, TXT և այլ ձևաչափերով, հեռավար կառավարում API-ի միջոցով, սպեկտրալ վերլուծության գործիքներ։ Սարքը պետք է լինի նոր, չօգտագործված, գործարանային փաթեթավորմամբ։   Երաշխիքային  ժամկետ՝ 1 տարի: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Երևան 0025,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3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