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ԲԿԳԿ-ԷԱՃԱՊՁԲ-26/23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ԲԿԳԿ-ԷԱՃԱՊՁԲ-26/23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ԲԿԳԿ-ԷԱՃԱՊՁԲ-26/23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анализатор спектра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15:30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4.4106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433.14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2026.04.01. 15:30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ԲԿԳԿ-ԷԱՃԱՊՁԲ-26/23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ԲԿԳԿ-ԷԱՃԱՊՁԲ-26/23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"ԲԿԳԿ-ԷԱՃԱՊՁԲ-26/23"*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"ԲԿԳԿ-ԷԱՃԱՊՁԲ-26/23"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"ԲԿԳԿ-ԷԱՃԱՊՁԲ-26/23"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ԲԿԳԿ-ԷԱՃԱՊՁԲ-26/23*</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ԲԿԳԿ-ԷԱՃԱՊՁԲ-26/23</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ԲԿԳԿ-ԷԱՃԱՊՁԲ-26/23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анализатор спектра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Спектральный диапазон: нижний предел рабочих длин волн не более 1 мкм и верхний предел не менее 12 мкм. Принцип измерения спектрометра: оптический спектроанализатор на основе преобразования Фурье. Не менее 2 оптических входных портов для оптического волокна FC/PC и свободного пространства. Совместимость с оптическими волокнами: все одномодовые волокна, включая fluoroSM: Динамический диапазон: не менее 40 dB. Порог чувствительности: не более -30 дБм/нм для диапазона 1,0–2,0 мкм и не более -40 дБм/нм для диапазона 2,0–12,0 мкм. Материал окна свободного пространства: ZnSe․
Волоконно-оптические и беспроводные входы
Волоконно-оптический вход должен быть совместим с одномодовым и многомодовым волоконно-оптическим кабелем FC/PC. Силикатные многомодовые волокна с максимальным диаметром сердцевины Ø50 мкм и числовой апертурой не более 0,22.
Фторсодержащие многомодовые волокна с максимальным диаметром сердцевины Ø100 мкм и числовой апертурой не более 0,26. Спектральное разрешение: максимум 7,5 ГГц (0,25 см⁻¹). Точность спектрального анализа: максимум ±2 части на миллион. Точность спектрального анализа: 1 часть на миллион. Максимальный пороговый уровень входной мощности: не менее 9,5 мВт (9,5 дБм). Разрешение выходного сигнала по длине волны: не менее 9 разрядов. Точность измерения длины волны: не более ±1 части на миллион. Максимальный пороговый уровень входной мощности: не менее 20 мВт (13 дБм). Точность уровня мощности: не более ±1 дБ. Зависимость от поляризации: ±1 дБ. Технические характеристики сбора данных (время/частота обновления). В режиме низкого разрешения: низкая чувствительность: максимум 0,5 с (минимум 1,9 Гц), средне-низкая чувствительность: максимум 0,8 с (минимум 1,2 Гц), средне-высокая чувствительность: максимум 1,5 с (минимум 0,7 Гц), высокая чувствительность: максимум 2,7 с (минимум 0,4 Гц). В режиме высокого разрешения: низкая чувствительность: максимум 1,8 с (минимум 0,6 Гц), средне-низкая чувствительность: максимум 2,9 с (минимум 0,3 Гц), средне-высокая чувствительность: максимум 5,2 с (минимум 0,2 Гц), высокая чувствительность: максимум 9,5 с (минимум 0,1 Гц). Встроенная автоматическая система калибровки с использованием опорного лазера. В комплект входят компьютер с операционной системой Windows, мышь и соответствующее программное обеспечение для управления устройством. Ключ типа SM05 для стопорных колец, длина: не менее 1,00 дюйма. Набор из 10 сменных насадок для вакуумного захвата (вакуумный пинцет), В комплект поставки входят Python SDK и обширный набор драйверов для LabVIEW®, C, C++ и C#. Программное обеспечение должно обеспечивать: отображение спектра в реальном времени, экспорт данных в форматах CSV, TXT и других, дистанционное управление через API, инструменты спектрального анализа․ Лазер должен включать встроенный pump-лазер и не требовать внешнего pump-лазера. Прибор должен быть новым, не бывшим в употреблении, заводского производства․ Гарантийный срок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Манукяна 1. Ереван 0025,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3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