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2026.03.26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ՀՀԱՄԱՇՏ-ԷԱՃԱՊՁԲ-26/6</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РА Арагацотнская область Аштаракский муниципалитет</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РА Арагацотнская область, Аштарак Наштаракеци ул. 7:</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ПРИГЛАШЕНИЕ</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11</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11</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Грайр Акопян</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ashtarakgnumner@gmail.com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023231026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РА Арагацотнская область Аштаракский муниципалитет</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ՀՀԱՄԱՇՏ-ԷԱՃԱՊՁԲ-26/6</w:t>
      </w:r>
      <w:r w:rsidRPr="00F32D53">
        <w:rPr>
          <w:rFonts w:ascii="Calibri" w:hAnsi="Calibri" w:cstheme="minorHAnsi"/>
          <w:i/>
        </w:rPr>
        <w:br/>
      </w:r>
      <w:r w:rsidRPr="00F32D53">
        <w:rPr>
          <w:rFonts w:ascii="Calibri" w:hAnsi="Calibri" w:cstheme="minorHAnsi"/>
          <w:szCs w:val="20"/>
          <w:lang w:val="af-ZA"/>
        </w:rPr>
        <w:t>2026.03.26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РА Арагацотнская область Аштаракский муниципалитет</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РА Арагацотнская область Аштаракский муниципалитет</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ПРИГЛАШЕНИЕ</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ПРИГЛАШЕНИЕ</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РА Арагацотнская область Аштаракский муниципалитет</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ՀՀԱՄԱՇՏ-ԷԱՃԱՊՁԲ-26/6</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ashtarakgnumner@gmail.com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ПРИГЛАШЕНИЕ</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5</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11</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375</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w:t>
      </w:r>
      <w:r w:rsidRPr="00F32D53">
        <w:rPr>
          <w:rFonts w:ascii="Calibri" w:hAnsi="Calibri" w:cstheme="minorHAnsi"/>
          <w:szCs w:val="22"/>
        </w:rPr>
        <w:t xml:space="preserve"> драмом, евро </w:t>
      </w:r>
      <w:r w:rsidR="00991780" w:rsidRPr="00F32D53">
        <w:rPr>
          <w:rFonts w:ascii="Calibri" w:hAnsi="Calibri" w:cstheme="minorHAnsi"/>
          <w:lang w:val="af-ZA"/>
        </w:rPr>
        <w:t>429</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2026.04.08.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РА Арагацотнская область Аштаракский муниципалитет</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ՀՀԱՄԱՇՏ-ԷԱՃԱՊՁԲ-26/6</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ՀՀԱՄԱՇՏ-ԷԱՃԱՊՁԲ-26/6</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'ՀՀԱՄԱՇՏ-ԷԱՃԱՊՁԲ-26/6'</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ՀՀԱՄԱՇՏ-ԷԱՃԱՊՁԲ-26/6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РА Арагацотнская область Аштаракский муниципалитет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 </w:t>
      </w:r>
      <w:r w:rsidRPr="00F32D53">
        <w:rPr>
          <w:rStyle w:val="Hyperlink"/>
          <w:rFonts w:ascii="Calibri" w:hAnsi="Calibri" w:cstheme="minorHAnsi"/>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Приложение 3.1</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под кодом "ՀՀԱՄԱՇՏ-ԷԱՃԱՊՁԲ-26/6"*</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заключаемым                    (далее-принципал ) в результате  _______________________________</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наименование отобранного участника</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организованной   (далее-бенефициар) РА Арагацотнская область Аштаракский муниципалитет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процедуры  закупок под кодом ՀՀԱՄԱՇՏ-ԷԱՃԱՊՁԲ-26/6</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2.  По гарантии_____________________________________________________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наименование дающего гарантию банка или страховой компании</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5. Гарантия действует с момента выпуска и в силе со дня вступления в силу договора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lang w:val="en-US"/>
        </w:rPr>
        <w:t xml:space="preserve">номер заключаемого договора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и  действует  включительно  до  девяностого  рабочего  дня   следующего за днем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____________________________________________________________________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крайний срок поставки товаров, предусмотренный заключаемым договором</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1) копии заключенного договора N_____________________, включая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копии внесенных  в него изменений, дополнительных соглашений,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lang w:val="en-US"/>
          </w:rPr>
          <w:t>www.procurement.am</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3) двухсторонне утвержденный в рамках договора между бенефициаром и принципалом акт (акты) приема-передачи или его (их) копии.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Руководитель исполнительного органа_______________________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__________________________________</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ՀՀԱՄԱՇՏ-ԷԱՃԱՊՁԲ-26/6</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7</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7</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720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5</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Домик с одной кроватью
Колесная база не менее 4700 мм
Двигатель
Мощность не менее 240 л.с.
Экологический стандарт Евро 5
Объем (л ) 6,87 не менее
Мощность / об/мин Скорость / кВт/об/мин ․ мин ․        173/2200 как минимум
Количество передач: 8 передних + 2 задних
Грузоподъемность передней оси: 5,5 тонны, как минимум
Грузоподъемность задней оси не менее 10 тонн .
Тип шины 10.00R20
Емкость топливного бака не менее 300 л.
Вес нетто (кг) приблизительно. не менее 6000 кг
Верхняя структура 
Максимальная ширина распыления (м) – не менее 12 м.
Дозировка распыления (г/м²) – не менее 40–200 г/м².
не менее 10–20 км/ч.
Общая вместимость резервуара для воды (л) –              не менее 8000 л
Полная масса транспортного средства ( GVW ) не менее 16 000 кг.
Топливо тип дизельного топлива
С системой ABS, кондиционером (AC)
Текущие условия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заводской цвет производителя.
Наличие сертификата соответствия требованиям Таможенного кодекса 018/2011 (OTTS) не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Сверхвысокая каюта и каюта класса люкс
Колесная база не менее 3900 мм
Двигатель
Мощность не менее 540 л.с. 
Экологический стандарт Евро 5
Объем (л ) не менее 13 л
Мощность/обороты (кВт/об/мин) ․                  400/1900 кВт/об/мин не менее
Трансмиссия: 12 передач вперед + 2 передачи назад, автоматическая коробка передач + замедлитель.
Грузоподъемность передней оси: 7 тонны, как минимум
Грузоподъемность задней оси не менее 13 тонн . 
Тип шины 385/80R22.5
Объем топливного бака (л): 860 л + 400 л не менее
Система сцепки седельного устройства 50#
Топливо тип дизельного топлива
Полная масса транспортного средства (GCW) кг 40000 кг по меньшей мере
AEBS + LDWS, EBS + ESC + HAS, запуск одной кнопкой, инверторный источник питания 220 В-1000 Вт, камера кругового обзора 360°, холодильный бокс, дополнительная система отопления, электронный стояночный тормоз, система контроля усталости водителя, датчики солнца и дождя, электромагнитный выключатель тока, система контроля давления в шинах;
Низкорамный полуприцеп
Технические характеристики
Размеры не менее 19000 × 3000 × 1800 мм .
Грузоподъемность не менее 50 тонн
мосты 3
Пневматическая подвеска на трех осях.
Шины 245/70R17.5
Система сцепки для седельного устройства 90#
Домкраты. Домкраты грузоподъемностью 28 тонн. 
Текущее состояние.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согласовывается с заказчиком.
Наличие сертификата соответствия требованиям Таможенного кодекса 018/2011 (OTTS) не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и самосвал (манипулятор)Тип каюты: Одноместная кровать
Колесная база (мм) — не менее 4950 + 1350 мм.
Двигатель
Модель/Мощность: не менее 336 л.с.
Экологический стандарт Евро 5
Объем (л) 9,726
Мощность/обороты (кВт/об/мин): не менее 247/2200 кВт/об/мин.
Трансмиссия 9F+1R
Грузоподъемность передней оси 7,5 тонны, как минимум
Грузоподъемность задней оси: 2*16 тонны, как минимум
Тип шины 12.00R20
Емкость топливного бака не менее 400 л.
С системой ABS, кондиционером (AC)
Кран — квадратная балка, прямая стрела, рабочий радиус: не менее 15 м, высота подъема: не менее 17,8 м , размеры грузового отсека: не менее 7000 × 2300 × 600 мм , толщина пола: не менее 3 мм, толщина боковых стенок: не менее 1,5 мм .
Общая масса не менее 31000 кг.
Топливо тип дизельного топлива
Текущие условия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согласовывается с заказчиком.
Наличие сертификата соответствия требованиям Таможенного кодекса 018/2011 (OTTS) не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Мусоровоз (14 кубических метров)
Однокамерная камера
Колесная база 4200 мм  по меньшей мере
Двигатель
Мощность не менее 220 л.с.
Экологический стандарт Евро 5
Объем (л ) 6,494 не менее
Мощность / об/мин Скорость / кВт/об/мин ․ мин ․        162/2500 кВт/об/ мин не менее
Количество передач: 8 передних + 2 задних
Грузоподъемность передней оси: 5,5 тонны, как минимум
Грузоподъемность задней оси не менее 13 тонн.
Тип шины 10.00R20
Емкость топливного бака не менее 300 л.
Тело
Вместимость 14 по меньшей мере
Время цикла наполнения (сек) ≤15
Длительность цикла сжатия (сек) ≤25
Длительность цикла разгрузки (сек) ≤110
Топливо тип дизельного топлива
Текущие условия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согласовывается с заказчиком.
Наличие сертификата соответствия требованиям Таможенного кодекса 018/2011 (OTTS) не является обязательным.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Мусоровоз (12 кубических метров)
Одноместная каюта
Колесная база 4200 мм  по меньшей мере
Двигатель
Мощность не менее 220 л.с.
Экологический стандарт Евро 5
Объем (л ) 6,494 л
Мощность / об/мин Скорость / кВт/об/мин ․ мин ․        162/2500 кВт / об/мин
Количество передач: 8 передних + 2 задних
Грузоподъемность передней оси: 5,5 тонны, как минимум
Грузоподъемность задней оси не менее 13 тонн.
Тип шины 9.00R20
Емкость топливного бака не менее 300 л.
Тело
Вместимость 12 по меньшей мере
Время цикла наполнения (сек) ≤15
Длительность цикла сжатия (сек) ≤25
Длительность цикла разгрузки (сек) ≤110
Топливо тип дизельного топлива
Текущие условия
Автомобиль должен быть новым, выпущенным в 2026 году.
Пробег автомобиля на момент поставки не должен превышать 6000 км.
 Гарантийный срок составляет 720 календарных дней.
Цвет: согласовывается с заказчиком.
Наличие сертификата соответствия требованиям Таможенного кодекса 018/2011 (OTTS) не является обязательным.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Аштарак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дней с даты вступления договора в силу.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ունիվերսալ թափքով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հատուկ նշանակության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կռունկ ― ինքնաթափ բեռնատարներ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