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ԿՄՋՀ-ԷԱՃԱՊՁԲ-26/11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Ջրվեժ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Մելքոնյան,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для нужд муниципалитета Джрвеж с кодом KMJH-EAJAPDB-26/11»</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jrvezh-gnumner@mail.ru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 795553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Ջրվեժ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ԿՄՋՀ-ԷԱՃԱՊՁԲ-26/11</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Ջրվեժ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Ջրվեժ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для нужд муниципалитета Джрвеж с кодом KMJH-EAJAPDB-26/11»</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для нужд муниципалитета Джрвеж с кодом KMJH-EAJAPDB-26/11»</w:t>
      </w:r>
      <w:r>
        <w:rPr>
          <w:rFonts w:ascii="Calibri" w:hAnsi="Calibri" w:cstheme="minorHAnsi"/>
          <w:b/>
          <w:lang w:val="ru-RU"/>
        </w:rPr>
        <w:t xml:space="preserve">ДЛЯ НУЖД  </w:t>
      </w:r>
      <w:r>
        <w:rPr>
          <w:rFonts w:ascii="Calibri" w:hAnsi="Calibri" w:cstheme="minorHAnsi"/>
          <w:b/>
          <w:sz w:val="24"/>
          <w:szCs w:val="24"/>
          <w:lang w:val="af-ZA"/>
        </w:rPr>
        <w:t>ՀՀ Կոտայքի մարզի Ջրվեժ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ԿՄՋՀ-ԷԱՃԱՊՁԲ-26/11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jrvezh-gnumner@mail.ru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для нужд муниципалитета Джрвеж с кодом KMJH-EAJAPDB-26/11»</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839950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377.18</w:t>
      </w:r>
      <w:r>
        <w:rPr>
          <w:rFonts w:ascii="Calibri" w:hAnsi="Calibri" w:cstheme="minorHAnsi"/>
          <w:szCs w:val="22"/>
        </w:rPr>
        <w:t xml:space="preserve"> драмом, российский рубль </w:t>
      </w:r>
      <w:r>
        <w:rPr>
          <w:rFonts w:ascii="Calibri" w:hAnsi="Calibri" w:cstheme="minorHAnsi"/>
          <w:lang w:val="af-ZA"/>
        </w:rPr>
        <w:t>4.6285</w:t>
      </w:r>
      <w:r>
        <w:rPr>
          <w:rFonts w:ascii="Calibri" w:hAnsi="Calibri" w:cstheme="minorHAnsi"/>
          <w:szCs w:val="22"/>
        </w:rPr>
        <w:t xml:space="preserve"> драмом, евро </w:t>
      </w:r>
      <w:r>
        <w:rPr>
          <w:rFonts w:ascii="Calibri" w:hAnsi="Calibri" w:cstheme="minorHAnsi"/>
          <w:lang w:val="af-ZA"/>
        </w:rPr>
        <w:t>434.13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Ջրվեժ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"ԿՄՋՀ-ԷԱՃԱՊՁԲ-26/11"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"ԿՄՋՀ-ԷԱՃԱՊՁԲ-26/11"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ԿՄՋՀ-ԷԱՃԱՊՁԲ-26/11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внешний вид: чистый и прозрачный, октановое число, определенное исследовательским методом: не менее 95, моторным методом: не менее 85, давление насыщенных паров бензина: от 45 до 100 кПа, содержание свинца: не более 5 мг/дм³, объемная доля бензола: не более 1%, плотность: при температуре 15 градусов Цельсия: от 720 до 775 кг/дм³, содержание серы: не более 10 мг/кг, массовая доля кислорода: не более 2,7%, объемная доля окислителей: не более: метанол-3%, этанол-5%, изопропиловый спирт-10%, изобутиловый спирт-10%, трет-бутиловый спирт-7%, эфиры (C5 и более)-15%, другие окислители-10%,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Поставка топлива осуществляется в виде талонов, а заправка производится на территории населенного пункта Джрвеж или на расстоянии до 2 км от него.
Последовательность поставок определяется графиком закупок.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Внешний вид: чистый и прозрачный, октановое число определяется исследовательским методом не менее 91 моторным методом не менее 81, давление насыщенных паров бензина не менее 45–100 кПа, содержание не более 5 мг/дм³, объемная доля бензола не более, плотность при температуре 15°C не менее 720–775, содержание серы не более 10 мг/кг, массовая доля кислорода не более 2,7%, объемная доля окислителей. Не содержит метанола-3%, этанола-5%, изопропилового спирта-10%, изобутилового спирта-10%, трет-бутилового спирта-7%, эфиров (C5 и выше)-15%, других окислителей-10%, средства безопасности, маркировки и упаковки – согласно Постановлению Правительства Республики Армения № 1592-Н от 11 ноября 2004 года.
Поставка осуществляется в виде 5 купонов на 1, 10 и 20 литров, распределяемых поровну, а розлив производится на территории муниципалитета Джирвеж-Котайкской области Республики Армения или в пределах 2 км от муниципалитета. Последовательность поставок определяется графиком закупок.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Джрвеж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рабочих дней с даты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Джрвеж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рабочих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премиум-класса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Обычный бензин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