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ՀԾԿՀ-26/10-ԷԱՃԱՊՁԲ</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հանրային ծառայությունները կարգավորող հանձնաժողով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Мясникяна 5/1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кондиционера с кодом ՀՀԾԿՀ-26/10-ԷԱՃԱՊՁԲ для нужд Комиссии по регулированию общественных услуг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Սիլվա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sharutyunyan@psrc.am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015580808-120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հանրային ծառայությունները կարգավորող հանձնաժողով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ՀԾԿՀ-26/10-ԷԱՃԱՊՁԲ</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հանրային ծառայությունները կարգավորող հանձնաժողով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հանրային ծառայությունները կարգավորող հանձնաժողով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кондиционера с кодом ՀՀԾԿՀ-26/10-ԷԱՃԱՊՁԲ для нужд Комиссии по регулированию общественных услуг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кондиционера с кодом ՀՀԾԿՀ-26/10-ԷԱՃԱՊՁԲ для нужд Комиссии по регулированию общественных услуг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ՀՀ հանրային ծառայությունները կարգավորող հանձնաժողով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ՀԾԿՀ-26/10-ԷԱՃԱՊՁԲ</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sharutyunyan@psrc.am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кондиционера с кодом ՀՀԾԿՀ-26/10-ԷԱՃԱՊՁԲ для нужд Комиссии по регулированию общественных услуг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հանրային ծառայությունները կարգավորող հանձնաժողով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"ՀԾԿՀ-26/10-ԷԱՃԱՊՁԲ"</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ՀԾԿՀ-26/10-ԷԱՃԱՊՁԲ*.</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"ՀԾԿՀ-26/10-ԷԱՃԱՊՁԲ"</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ՀԾԿՀ-26/10-ԷԱՃԱՊՁԲ*.</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ՀԾԿՀ-26/10-ԷԱՃԱՊՁԲ</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с раздельным управлением, рабочая площадь не менее 60 м2, подача горячего и холодного воздуха, автоматический режим, индикатор включения/выключения, автоматическое включение при отключении электроэнергии, пульт дистанционного управления, мощность в режиме охлаждения не менее 1620 Вт, мощность в режиме обогрева не менее 1500 Вт. Источник питания 220-240 В/50-60 Гц, рабочая температура +43°C/-7°C. Цвет согласовывается с заказчиком. Поставляемый продукт должен быть новым, неиспользованным. Поставщик осуществляет транспортировку, разгрузку и установку продукта за свой счет. Гарантийный срок на продукт составляет 365 календарных дней со дня, следующего за днем приемки продукта заказчиком. Для осуществления гарантийного обслуживания продукт должен быть демонтирован, транспортирован и разгружен в обоих направлениях. Установка осуществляется Поставщиком за свой счет и собственными силами.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