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2026.03.31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ՎՀ-ԷԱՃԱՊՁԲ-26/3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Վայքի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Վայոց ձորի մարզ, ք.Վայք Շահումյան 18</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Վայքի  համայնքապետարանի  կարիքների համար  բենզինի  ձեռքբերման ՎՀ-ԷԱՃԱՊՁԲ-26/3 ծածկագրով էլեկտրոնային աճուրդի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Արսեն Գևորգյան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+37493-30-27-42</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vaykgnumner@gmail.com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Վայքի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ՎՀ-ԷԱՃԱՊՁԲ-26/3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2026.03.31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Վայքի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Վայքի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Վայքի  համայնքապետարանի  կարիքների համար  բենզինի  ձեռքբերման ՎՀ-ԷԱՃԱՊՁԲ-26/3 ծածկագրով էլեկտրոնային աճուրդի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Վայքի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Վայքի  համայնքապետարանի  կարիքների համար  բենզինի  ձեռքբերման ՎՀ-ԷԱՃԱՊՁԲ-26/3 ծածկագրով էլեկտրոնային աճուրդի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ՎՀ-ԷԱՃԱՊՁԲ-26/3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vaykgnumner@gmail.com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Վայքի  համայնքապետարանի  կարիքների համար  բենզինի  ձեռքբերման ՎՀ-ԷԱՃԱՊՁԲ-26/3 ծածկագրով էլեկտրոնային աճուրդի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430</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2026.04.14. 14:00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Վայքի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ՎՀ-ԷԱՃԱՊՁԲ-26/3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ՎՀ-ԷԱՃԱՊՁԲ-26/3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«ՎՀ-ԷԱՃԱՊՁԲ-26/3»*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Վայքի համայնքապետարան*  (այսուհետ` Պատվիրատու) կողմից կազմակերպված` ՎՀ-ԷԱՃԱՊՁԲ-26/3*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Վայքի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- 08917547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- 900342121028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«ՎՀ-ԷԱՃԱՊՁԲ-26/3»*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Վայքի համայնքապետարան*  (այսուհետ` Պատվիրատու) կողմից կազմակերպված` ՎՀ-ԷԱՃԱՊՁԲ-26/3*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Վայքի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- 08917547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- 900342121028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ՎԱՅՔԻ ՀԱՄԱՅՆՔԱՊԵՏԱՐԱՆԻ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Արտաքին տեսքը` մաքուր և պարզ, օկտանային թիվը որոշված հետազոտական մեթոդով` ոչ պակաս 91, շարժիչային մեթոդով` ոչ պակաս 81, բենզինի հագեցած գոլորշիների ճնշումը` 45-ից մինչև 100 կՊա, կապարի պարունակությունը 5 մգ/դմ3-ից ոչ ավելի, բենզոլի ծավալային մասը 1 %-ից ոչ ավելի, խտությունը` 15 0C ջերմաստիճանում` 720-ից մինչև 775 կգ/մ3 , ծծմբի պարունակությունը` 10 մգ/կգ-ից ոչ ավելի, թթվածնի զանգվածային մասը` 2,7 %-ից ոչ ավելի, օքսիդիչների ծավալային մասը, ոչ ավելի` մեթանոլ-3 %, էթանոլ-5 %, իզոպրոպիլ սպիրտ-10%, իզոբուտիլ սպիրտ-10 %, եռաբութիլ սպիրտ-7 %, եթերներ (C5 և ավելի)-15 %, այլ օքսիդիչներ-10 %, 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 ¬¬¬¬¬¬¬¬¬¬¬¬¬¬Ապրանքի մատակարարումը իրականացվում է մատակակարարի միջոցներով՝ ք․ Վայք, Շահումյան 18 հասցեով, կտրոնային  եղանակով։
Մատակարարը Վայքի քաղաքի տարածքում պետք է ունենա լցակայան։
ք. Վայք, Շահումյան 18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Վայք, Շահումյան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մտելու օրվանից  հաշված  21 օրացուցային օր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