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ՀԱԱՀ-ԷԱՃԱՊՁԲ-26/35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ՀԱԱՀ-ԷԱՃԱՊՁԲ-26/35</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ՀԱԱՀ-ԷԱՃԱՊՁԲ-26/35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ՀԱԱՀ-ԷԱՃԱՊՁԲ-26/35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ՀԱԱՀ-ԷԱՃԱՊՁԲ-26/35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корм для кормления скота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корм для кормления скота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ячмень, пшеница, кукуруза, соя и подсолнечная шелуха, витаминно-минеральные и аминокислотные пермиксы и др.
Доставка и разгрузка в указанное место поставщиком.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с полей кукурузы и люцерны, смешанный с 15-20 кг соломы, влажность 12-14%, питательная ценность 1 кг 0,50-0,52 кормовых единиц.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Дистиллят ячменя и пшеницы второго сорта, используемый в качестве корма для животных. Цвет характерен для здорового зерна, с оттенком. Влажность до 19%, упаковка до 50 кг в полиэтиленовые мешки. Остаточный срок годности на момент поставки 70%. Срок годности не менее 12 месяцев с даты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Цельные, чистые зерна, без плесени, насекомых и посторонних примесей. Цвет: от желтого до оранжевого (в зависимости от сорта). Влажность – ≤ 14% (для хранения). Неорганические примеси – ≤ 1%.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 и статьей 8 Закона РА «О безопасности пищевых продуктов».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г.Сисиан, ул. Ширванзаде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г.Сисиан, ул. Ширванзаде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г.Сисиан, ул. Ширванзаде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г.Сисиан, ул. Ширванзаде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корм для кормления скота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