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liana.kharatyan@escs.am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ՀՀԿԳՄՍՆԷԱՃԱՊՁԲ-26/69</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ШКОЛЬНАЯ МЕБЕЛЬ</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liana.kharatyan@escs.am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22607570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___365___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банкетного зала, имущества кабинета директора, имущества приемной, имущества бухгалтера,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имущество предмета «Технология», которые должны соответствовать техническому заданию-1, представленному в приложении.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помощника учителя,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комнаты тренера, имущество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требованиям, указанным в приложении. техническое задание-к 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бухгалтера, имущества учительской, имущества библиотеки, имущества предмета «шахматы», имущества дошкольного учреждения,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техническому заданию-3, представленному в приложении. возможное допустимое отклонение в размерах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средняя школа села Айгабац, Адресс: Республика Армения, Ширакская область, село Айгабац, 8-я улица, здание 16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основная школа № 22 г. Ванадзор, Адресс: Республика Армения, Лорийская область, г. Ванадзор, ул. Банак, здание 29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основная школа села Сипаник, Адресс: Республика Армения, Араратская область, село Сипаник, ул. Гюмри, здание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