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2026.04.02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ՀՀ-ԷՆ-ԷԱՃԾՁԲ-26/34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Министерство Экономики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0010,  РА г. Ереван, ул.  М. Мкртчяна 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Գայանե Դանիելյան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gdanielyan@mineconomy.am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011597223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Министерство Экономики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ՀՀ-ԷՆ-ԷԱՃԾՁԲ-26/34</w:t>
      </w:r>
      <w:r w:rsidRPr="005704A1">
        <w:rPr>
          <w:rFonts w:ascii="Calibri" w:hAnsi="Calibri" w:cs="Times Armenian"/>
          <w:lang w:val="ru-RU"/>
        </w:rPr>
        <w:br/>
      </w:r>
      <w:r w:rsidRPr="005704A1">
        <w:rPr>
          <w:rFonts w:ascii="Calibri" w:hAnsi="Calibri" w:cstheme="minorHAnsi"/>
          <w:lang w:val="af-ZA"/>
        </w:rPr>
        <w:t>2026.04.02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Министерство Экономики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Министерство Экономики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w:t>
      </w:r>
      <w:r w:rsidR="005704A1" w:rsidRPr="005704A1">
        <w:rPr>
          <w:rFonts w:ascii="Calibri" w:hAnsi="Calibri"/>
          <w:b/>
          <w:lang w:val="ru-RU"/>
        </w:rPr>
        <w:t>ДЛЯНУЖД</w:t>
      </w:r>
      <w:r w:rsidR="00D80C43" w:rsidRPr="00D80C43">
        <w:rPr>
          <w:rFonts w:ascii="Calibri" w:hAnsi="Calibri"/>
          <w:b/>
          <w:lang w:val="hy-AM"/>
        </w:rPr>
        <w:t>Министерство Экономики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ՀՀ-ԷՆ-ԷԱՃԾՁԲ-26/34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gdanielyan@mineconomy.am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377.23</w:t>
      </w:r>
      <w:r w:rsidRPr="005704A1">
        <w:rPr>
          <w:rFonts w:ascii="Calibri" w:hAnsi="Calibri"/>
          <w:szCs w:val="22"/>
        </w:rPr>
        <w:t xml:space="preserve"> драмом, российский рубль </w:t>
      </w:r>
      <w:r w:rsidRPr="005704A1">
        <w:rPr>
          <w:rFonts w:ascii="Calibri" w:hAnsi="Calibri"/>
          <w:lang w:val="hy-AM"/>
        </w:rPr>
        <w:t>4.6646</w:t>
      </w:r>
      <w:r w:rsidRPr="005704A1">
        <w:rPr>
          <w:rFonts w:ascii="Calibri" w:hAnsi="Calibri"/>
          <w:szCs w:val="22"/>
        </w:rPr>
        <w:t xml:space="preserve">драмом, евро </w:t>
      </w:r>
      <w:r w:rsidRPr="005704A1">
        <w:rPr>
          <w:rFonts w:ascii="Calibri" w:hAnsi="Calibri"/>
          <w:lang w:val="hy-AM"/>
        </w:rPr>
        <w:t>437.55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2026.04.14.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ՀՀ-ԷՆ-ԷԱՃԾՁԲ-26/34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Министерство Экономики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ՀՀ-ԷՆ-ԷԱՃԾՁԲ-26/34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ՀՀ-ԷՆ-ԷԱՃԾՁԲ-26/34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"ՀՀ-ԷՆ-ԷԱՃԾՁԲ-26/34"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Министерство Экономики  РА*(далее — Заказчик) процедуре закупок под кодом ՀՀ-ԷՆ-ԷԱՃԾՁԲ-26/34*.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"ՀՀ-ԷՆ-ԷԱՃԾՁԲ-26/34"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Министерство Экономики  РА*(далее — Заказчик) процедуре закупок под кодом ՀՀ-ԷՆ-ԷԱՃԾՁԲ-26/34*.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ՀՀ-ԷՆ-ԷԱՃԾՁԲ-26/34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включая
Продление лицензии на FortiGate-120G на 1 год.
Должно быть оформлено продление лицензии на программное обеспечение и услуги безопасности для 2 (двух) существующих устройств FortiGate-120G, с отдельной лицензией для каждого, всего 2 (две) лицензии, на период 1 (один) год.
Общие требования
• Лицензии должны быть оригинальными, предоставленными компанией Fortinet
• Для каждого устройства должна быть предоставлена ​​отдельная лицензия
• Активация через официальные платформы производителя
• Компания-поставщик должна предоставить сертификат MAF вместе с поставкой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включая:
Продление лицензии на антивирусную программу ESET PROTECT Complete on Prem на 1 год, 370 рабочих станций и 370 единиц защиты электронной почты. Лицензия должна быть совместима с данным программным обеспечением.
Требования к защите рабочих станций, работающих под управлением несерверных операционных систем:
1. Поддержка ОС: Microsoft Windows 11, 10, 8.1, 8, 7, macOS 10.12 и выше, Ubuntu Desktop 18.04 LTS 64-бит и RedHat Enterprise Linux (RHEL) Desktop 7 64-бит.
Требования к защите рабочих станций на базе серверных ОС
1. Поддержка ОС: Microsoft Windows Server 2022, 2019, 2016, 2012, 2008, R2 SP1, Microsoft Windows Server Core 2012, 2008R2, Microsoft Windows Small Business Server 2011, RedHat Enterprise Linux (RHEL) 7, 8, 9, CentOS 7, 8, Ubuntu Server 18.04 LTS, 20.04 LTS, 22.04 LTS, Debian 10, 11, 12, SUSE Linux Enterprise Server (SLES) 12, 15, Oracle Linux 8, Amazon Linux 2:
Требования к защите почтовых серверов
1. Поддержка ОС: Microsoft Windows Server 2022, 2019, 2016, 2012 R2, 2012, 2008 R2, 2008 SP2, Microsoft Small Business Server 2011, IBM Domino 6.5.4 и выше, HCL Domino 11, Linux – ядро ​​версии 2.6.x и выше, glibc 2.3.6 и выше, FreeBSD – 6.x, 7.x, 8.x и 9.x
2. Возможность защиты Microsoft Exchange Server 2019, 2016, 2013, 2010, 2007.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включая
Сертификат Wildcard SSL позволяет веб-сайтам перейти с HTTPS, который является более безопасным. Сертификат SSL — это файл данных, размещенный на исходном сервере веб-сайта. Сертификат SSL обеспечивает шифрование SSL/TLS и содержит открытый ключ веб-сайта и идентификационные данные веб-сайта, а также связанную информацию. Устройства, пытающиеся связаться с исходным сервером, будут использовать этот файл для получения открытого ключа и проверки подлинности сервера. Закрытый ключ хранится в тайне и защищен.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М.Мкртчян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М.Мкртчян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М.Мкртчян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квартал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