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2026.04.02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ՀՀՇՄԳՀՀԿՀ-ԷԱ-ԱՊՁԲ-35/26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Շիրակի մարզ, Գյումրիի համայնքապետարան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ՀՀ Շիրակի մարզ, ք. Գյումրի</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деревьев для нужд муниципалитета Гюмри.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16:00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16:00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Արմինե Սարգսյան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arm.sargsyan1992@gmail.com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2-22-11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Շիրակի մարզ, Գյումրիի համայնքապետարան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ՀՀՇՄԳՀՀԿՀ-ԷԱ-ԱՊՁԲ-35/26</w:t>
      </w:r>
      <w:r w:rsidRPr="00E4651F">
        <w:rPr>
          <w:rFonts w:asciiTheme="minorHAnsi" w:hAnsiTheme="minorHAnsi" w:cstheme="minorHAnsi"/>
          <w:i/>
        </w:rPr>
        <w:br/>
      </w:r>
      <w:r w:rsidR="00A419E4" w:rsidRPr="00E4651F">
        <w:rPr>
          <w:rFonts w:asciiTheme="minorHAnsi" w:hAnsiTheme="minorHAnsi" w:cstheme="minorHAnsi"/>
          <w:szCs w:val="20"/>
          <w:lang w:val="af-ZA"/>
        </w:rPr>
        <w:t>2026.04.02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Շիրակի մարզ, Գյումրիի համայնքապետարան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Շիրակի մարզ, Գյումրիի համայնքապետարան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деревьев для нужд муниципалитета Гюмри.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деревьев для нужд муниципалитета Гюмри.</w:t>
      </w:r>
      <w:r w:rsidR="00812F10" w:rsidRPr="00E4651F">
        <w:rPr>
          <w:rFonts w:cstheme="minorHAnsi"/>
          <w:b/>
          <w:lang w:val="ru-RU"/>
        </w:rPr>
        <w:t xml:space="preserve">ДЛЯ НУЖД </w:t>
      </w:r>
      <w:r w:rsidR="0039665E" w:rsidRPr="0039665E">
        <w:rPr>
          <w:rFonts w:cstheme="minorHAnsi"/>
          <w:b/>
          <w:u w:val="single"/>
          <w:lang w:val="af-ZA"/>
        </w:rPr>
        <w:t>ՀՀ Շիրակի մարզ, Գյումրիի համայնքապետարան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ՀՀՇՄԳՀՀԿՀ-ԷԱ-ԱՊՁԲ-35/26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arm.sargsyan1992@gmail.com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деревьев для нужд муниципалитета Гюмри.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433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ՀՀՇՄԳՀՀԿՀ-ԷԱ-ԱՊՁԲ-35/26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Շիրակի մարզ, Գյումրիի համայնքապետարան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ՀՀՇՄԳՀՀԿՀ-ԷԱ-ԱՊՁԲ-35/26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ՀՀՇՄԳՀՀԿՀ-ԷԱ-ԱՊՁԲ-35/26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"ՀՀՇՄԳՀՀԿՀ-ԷԱ-ԱՊՁԲ-35/26"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Շիրակի մարզ, Գյումրիի համայնքապետարան*(далее — Заказчик) процедуре закупок под кодом ՀՀՇՄԳՀՀԿՀ-ԷԱ-ԱՊՁԲ-35/26*.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Շիրակի մարզ, Գյումրիի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- 05511159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- 900216301011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"ՀՀՇՄԳՀՀԿՀ-ԷԱ-ԱՊՁԲ-35/26"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Շիրակի մարզ, Գյումրիի համայնքապետարան*(далее — Заказчик) процедуре закупок под кодом ՀՀՇՄԳՀՀԿՀ-ԷԱ-ԱՊՁԲ-35/26*.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Շիրակի մարզ, Գյումրիի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- 05511159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- 900216301011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ՀՀՇՄԳՀՀԿՀ-ԷԱ-ԱՊՁԲ-35/26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Планируемая окружность ствола дерева составляет 8-10 см. Ствол прямой, с достаточно развитой корневой системой, покрыт землей. Почки нераскрылись, без сухих ветвей. Листва разветвленная.
Посадочный материал должен быть адаптирован к климату северного региона.
Поставка товара должна быть осуществлена ​​в течение 3 календарных дней после подачи заказа заказчиком.
Перед поставкой поставщик должен заранее обсудить этот вопрос с менеджером заказчика, после чего поставить указанный в технических условиях товар в необходимом количестве.
Доставка товара осуществляется в день, четко указанный в заказе,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Планируемая окружность ствола дерева составляет 8-10 см. Ствол прямой, с достаточно развитой корневой системой, покрыт землей. Почки нераскрылись, без сухих ветвей. Листва разветвленная.
Посадочный материал должен быть адаптирован к климату северного региона.
Поставка товара должна быть осуществлена ​​в течение 3 календарных дней после подачи заказа заказчиком.
Перед поставкой поставщик должен заранее обсудить этот вопрос с менеджером заказчика, после чего поставить указанный в технических условиях товар в необходимом количестве.
Доставка товара осуществляется в день, четко указанный в заказе, за счет поставщика.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улица Вардананц,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в период весенней или осенней посадки в 2026 году, по предварительному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улица Вардананц,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в период весенней или осенней посадки в 2026 году, по предварительному запросу Заказчика.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