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НПУА-EAAPDzB-26/12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ՀԱՊՀ-ԷԱԱՊՁԲ-26/12</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НПУА-EAAPDzB-26/12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НПУА-EAAPDzB-26/12</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НПУА-EAAPDzB-26/12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из природного источника, прошедшая дополнительную очистку, а именно подвергнутая грубой очистке угольным фильтром и более тонкой фильтрации, не менее чем пятиступенчатая фильтрация. Бутыли проходят поточную мойку и поточное розливание. Срок хранения — 6 месяцев, дата розлива должна быть указана на бутылке. Соответствует техническому регламенту ЕАЭС ТР 044/2017.
Бутыли непосредственно перед розливом дезинфицируются ультрафиолетовыми лучами. Розлив осуществляется в тару объемом 19–19,5 литров, изготовленную из поликарбоната, предназначенную для установки на диспенсерные устройства.
Безопасность и маркировка — в соответствии с приказом Министра здравоохранения РА от 10.03.2010 № 06-Н «Об утверждении нормативов N 2-III-4.9-01-2010 „Гигиенические требования к безопасности и пищевой ценности пищевого сырья и пищевых продуктов“» и статьями 8 и 9 Закона РА «О безопасности пищевых продуктов».
Вода должна быть обработана ультрафиолетовыми лучами.
«Бюрег» или «Чистая вода».
Транспортировку и разгрузку продукции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из природного источника региона общины Джермук Республики Армения, разлитая в прозрачные пластиковые бутылки объемом 0,5 л ± 3%, упакованные в блоки по 12 штук. Прошедшая дополнительную очистку, негазированная, очищенная, соответствующая международным стандартам питьевой воды.
Безопасность и маркировка — в соответствии с приказом Министра здравоохранения РА от 10.03.2010 № 06-Н «Об утверждении нормативов N 2-III-4.9-01-2010 „Гигиенические требования к безопасности и пищевой ценности пищевого сырья и пищевых продуктов“» и статьями 8 и 9 Закона РА «О безопасности пищевых продуктов».
Основной состав, мг/л: гидрокарбонаты — 36–42, натрий и калий — 4–7, кальций — 3–6, хлориды — 0,3–1,7, сульфаты — 0,4–1,5; общая минерализация — 0,08–0,11 г/л; общая жесткость — 0,4–0,8 мг-экв/л; pH — 7,0–8,0.
Соответствует техническому регламенту ЕАЭС ТР 044/2017.
Транспортировку и разгрузку продукции осуществляет поставщик. Срок годности в закрытом виде — 18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Заказчика в течение 21 календарного дня после заключения договора, в дальнейшем — в течение 15 календарных дней согласно заказам.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Заказчика в течение 21 календарного дня после заключения договора, в дальнейшем — в течение 15 календарных дней согласно заказам.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