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ԱԱԾ-ՏԱևԿԿԳՎ-ԷԱՃԱՊՁԲ-26/11-ՀՊՍ2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պատճենահանման սարքավորումների և օժանդակ նյութերի ու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v.eloyan@promotion.am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ԱԱԾ-ՏԱևԿԿԳՎ-ԷԱՃԱՊՁԲ-26/11-ՀՊՍ2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պատճենահանման սարքավորումների և օժանդակ նյութերի ու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պատճենահանման սարքավորումների և օժանդակ նյութերի ու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ԱԱԾ-ՏԱևԿԿԳՎ-ԷԱՃԱՊՁԲ-26/11-ՀՊՍ2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v.eloyan@promotion.am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պատճենահանման սարքավորումների և օժանդակ նյութերի ու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ականջակալներ խոսափողով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ձայնագրող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տեսաքարտեր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ԱԱԾ-ՏԱևԿԿԳՎ-ԷԱՃԱՊՁԲ-26/11-ՀՊՍ2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ԱԱԾ-ՏԱևԿԿԳՎ-ԷԱՃԱՊՁԲ-26/11-ՀՊՍ2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ԱԱԾ-ՏԱևԿԿԳՎ-ԷԱՃԱՊՁԲ-26/11-ՀՊՍ2»*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ԱԱԾ-ՏԱևԿԿԳՎ-ԷԱՃԱՊՁԲ-26/11-ՀՊՍ2*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ԱԱԾ-ՏԱևԿԿԳՎ-ԷԱՃԱՊՁԲ-26/11-ՀՊՍ2»*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ԱԱԾ-ՏԱևԿԿԳՎ-ԷԱՃԱՊՁԲ-26/11-ՀՊՍ2*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ականջակալներ խոսափողով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Ականջակալներ խոսափողով
(earphone microphone for computer)
Ականջակալներ՝ միակողմանի շարժական խոսափողով, միատոն սև կամ մոխրագույն, հարմարավետ դիրքավորվի գլխի վրա: Հերմետիկ նստող, ամուր շրջանակով, ականջի փափուկ բարձիկներով, որոնք կապահովեն ձայնամեկուսացումը: Մալուխի երկարությունը առնվազն 1.5մ, պորտ՝ 2x3.5 jack (audio+microphone):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Կոմպակտ դիսկ
(CD-R)
Հիշողության ծավալը՝ 700MB, դատարկ, առանց տուփի: Ձայնագրման արագությունը՝ 52x: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Կոմպակտ դիսկ
(DVD-R)
Հիշողության ծավալը՝ 4.7GB, դատարկ, առանց տուփի: Ձայնագրման արագությունը՝ 16x: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2TB)
Տեսակը՝ HDD, հիշողության ծավալը՝ առնվազն 2 TB, Ինտերֆեյսը՝ SATA3, ֆորմ ֆակտորը՝ 3.5", արագությունը՝ 7200 պտ/ր: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4TB)
Տեսակը՝ HDD, հիշողության ծավալը՝ առնվազն 4 TB, Ինտերֆեյսը՝ SATA3, ֆորմ ֆակտորը՝ 3.5", արագությունը՝ 7200 պտ/ր: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6TB)
Տեսակը՝ HDD, հիշողության ծավալը՝ առնվազն 6 TB, Ինտերֆեյսը՝ SATA3, ֆորմ ֆակտորը՝ 3.5", արագությունը՝ 7200 պտ/ր: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8TB)
Տեսակը՝ HDD, հիշողության ծավալը՝ առնվազն 8 TB, Ինտերֆեյսը՝ SATA3, ֆորմ ֆակտորը՝ 3.5", արագությունը՝ 7200 պտ/ր: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(SSD 240GB)
Տեսակը՝ SSD, հիշողության ծավալը՝ առնվազն 240 GB, Ինտերֆեյսը՝ SATA3, ֆորմ ֆակտորը՝ 2.5", կարդալ/գրելու արագությունները առնվազն՝ Read- 450MB/s, Write-320MB/s, միջին ժամանակը անդադար աշխատանքի՝ 2 million hours MTBF, հավելումներ՝ 3D NAND: TLC Flash memory component: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(SSD M.2 500GB)
Տեսակը՝ SSD M.2, հիշողության ծավալը՝ առնվազն 500 GB, Ինտերֆեյսը՝ PCI-e 4.0 x4 NVMe, ֆորմ ֆակտորը՝ M.2 2280, կարդալ/գրելու արագությունները առնվազն՝ Read- 3500MB/s, Write- 2100MB/s, հավելումներ՝ 3D NAND Flash memory component: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Մուլտիմեդիա ստեղնաշար
(computer keyboard)
Ինտերֆեյսը՝ USB, շարվածքը՝ անգլերեն և ռուսերեն, մալուխի երկարությունը՝ առնվազն 1.8մ: Հավելումներ՝ Mutimedia, Full-size keyboard layout with shortcut keys and Fn botton, High-quality, Keys designed to withstand up to 10 million keystrokes, Spill-resistant design, black: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ձայնագրող սարք
(External CD/DVD writer USB 3.0)
External CD/DVD writer USB 3.0, DVD+/- RW DVD-RAM Dual layer (black) SATA: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Տեսաքարտ
(videocard for PC)
700MHz, 128 bit, 1333MHz DDR3, 96 CUDA cores, DX11.2, OpenGL 4.4, shader 5.0, DVI, VGA, HDMI, PCI-e 2.0: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կրիչ
(64 GB)
Հիշողության ծավալը՝ առնվազն 64 GB, ինտերֆեյսը՝ USB 3.2, Gen 2, համատեղելի USB 2.0 ստանդարտին, պորտը՝ USB Type-A: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կրիչ
(128 GB)
Հիշողության ծավալը՝ առնվազն 128 GB, ինտերֆեյսը՝ USB 3.2, Gen 2, համատեղելի USB 2.0 ստանդարտին, պորտը՝ USB Type-A: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Քարթրիջների լրակազմ
(HP DJ F2483 տպիչի համար (Black and Color))
Տպագրությունը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միջազգային ստանդարտներին: Քարտրիջի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Ապրանքը պետք է լինի նոր՝ չօգտագործված և պիտանելիության ժամկետի մեջ (տուփի վրա նշված լինի արտադրման ամսաթիվը և պիտանելության ժամկետը): Մատակարարման պահին արտադրման ամսաթվից կարող  է անցած լինել առավելագույնը մեկ տարի։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Ապրանքի տեղափոխումը և բեռնաթափումը իրականացնում է Մատակարարը իր միջոցներով և իր հաշվին: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DeskJet 5645 տպիչի համար (color, № 651))
Տպագրության նվազագույն քանակ՝ առնվազն 300 էջ (A4 ֆորմատի թղթի 5% լցվածության դեպքում),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միջազգային ստանդարտներին: Քարտրիջի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Ապրանքը պետք է լինի նոր՝ չօգտագործված և պիտանելիության ժամկետի մեջ (տուփի վրա նշված լինի արտադրման ամսաթիվը և պիտանելության ժամկետը): Մատակարարման պահին արտադրման ամսաթվից կարող  է անցած լինել առավելագույնը մեկ տարի։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Ապրանքի տեղափոխումը և բեռնաթափումը իրականացնում է Մատակարարը իր միջոցներով և իր հաշվին: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(HP DeskJet 5645 տպիչի համար (black, № 651))
Տպագրության նվազագույն քանակ՝ առնվազն 600 էջ (A4 ֆորմատի թղթի 5% լցվածության դեպքում),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միջազգային ստանդարտներին: Քարտրիջի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Ապրանքը պետք է լինի նոր՝ չօգտագործված և պիտանելիության ժամկետի մեջ (տուփի վրա նշված լինի արտադրման ամսաթիվը և պիտանելության ժամկետը): Մատակարարման պահին արտադրման ամսաթվից կարող  է անցած լինել առավելագույնը մեկ տարի։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Ապրանքի տեղափոխումը և բեռնաթափումը իրականացնում է Մատակարարը իր միջոցներով և իր հաշվին: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Քարթրիջների լրակազմ
(Epson 3620 տպիչի համար (Black and Color Ink Cartridges, C/M/Y/K, 4-Pack))
Տպագրությունը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միջազգային ստանդարտներին: Քարտրիջի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Ապրանքը պետք է լինի նոր՝ չօգտագործված և պիտանելիության ժամկետի մեջ (տուփի վրա նշված լինի արտադրման ամսաթիվը և պիտանելության ժամկետը): Մատակարարման պահին արտադրման ամսաթվից կարող  է անցած լինել առավելագույնը մեկ տարի։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Ապրանքի տեղափոխումը և բեռնաթափումը իրականացնում է Մատակարարը իր միջոցներով և իր հաշվին: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քարտրիջ
(Ricoh MP2001SP տպիչի համար)
Տոներ քարթրիջը համատեղելի լինի Ricoh MP2001SP մոդելի տպիչ սարքի հետ: Տպագրության նվազագույն քանակ՝ առնվազն 9000 էջ (A4 ֆորմատի թղթի 5% լցվածության դեպքում),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միջազգային ստանդարտներին: Քարտրիջի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Քարթրիջը պետք է ունենա բազմակի լիցքավորման հնարավորություն: Ապրանքը պետք է լինի նոր՝ չօգտագործված և պիտանելիության ժամկետի մեջ (տուփի վրա նշված լինի արտադրման ամսաթիվը և պիտանելության ժամկետը): Մատակարարման պահին արտադրման ամսաթվից կարող  է անցած լինել առավելագույնը մեկ տարի։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Ապրանքի տեղափոխումը և բեռնաթափումը իրականացնում է Մատակարարը իր միջոցներով և իր հաշվին: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(KYOCERA TASKalfa 2554ci տպիչի համար)
Տպագրության նվազագույն քանակ՝ առնվազն 12000 էջ (A4 ֆորմատի թղթի 5% լցվածության դեպքում),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միջազգային ստանդարտներին: Քարտրիջի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Ապրանքը պետք է լինի նոր՝ չօգտագործված և պիտանելիության ժամկետի մեջ (տուփի վրա նշված լինի արտադրման ամսաթիվը և պիտանելության ժամկետը): Մատակարարման պահին արտադրման ամսաթվից կարող  է անցած լինել առավելագույնը մեկ տարի։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Ապրանքի տեղափոխումը և բեռնաթափումը իրականացնում է Մատակարարը իր միջոցներով և իր հաշվին: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(KYOCERA TASKalfa 3510i/3511i տպիչի համար)
Տպագրության նվազագույն քանակ՝ առնվազն 35000 էջ (A4 ֆորմատի թղթի 5% լցվածության դեպքում),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միջազգային ստանդարտներին: Քարտրիջի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Ապրանքը պետք է լինի նոր՝ չօգտագործված և պիտանելիության ժամկետի մեջ (տուփի վրա նշված լինի արտադրման ամսաթիվը և պիտանելության ժամկետը): Մատակարարման պահին արտադրման ամսաթվից կարող  է անցած լինել առավելագույնը մեկ տարի։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Ապրանքի տեղափոխումը և բեռնաթափումը իրականացնում է Մատակարարը իր միջոցներով և իր հաշվին: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քարթրիջ
(KYOCERA TASKalfa 4002i/5002i/6002i տպիչի համար)
Տպագրության նվազագույն քանակ՝ առնվազն 30000 էջ (A4 ֆորմատի թղթի 5% լցվածության դեպքում), առանց տպագրական և գունային երանգների աղավաղումների, առանց տպման մգության կորստի՝ մինչև տպման վերջին էջը ներառյալ, գործարանում 100% թեստավորում անցած: Քարթրիջը պետք է համապատասխանի միջազգային ստանդարտներին: Քարտրիջի տոների բունկերը գործարանային կապարակնքված: Տպագրության որակը և մգությունը համապատասխան լինի միջազգային նորմերով ընդունված և իրականացվող թեստային նմուշներին: Փաթեթավորում՝ քարթրիջը փաթեթավորված լինի անջրանցիկ, պոլիէթիլենային թաղանթով, որը գտնվում է հերմետիկ գործարանային օդային բարձիկի կամ համապատասխան պաշտպանիչ շերտի մեջ և տեղադրված տուփում: Ապրանքը պետք է լինի նոր՝ չօգտագործված և պիտանելիության ժամկետի մեջ (տուփի վրա նշված լինի արտադրման ամսաթիվը և պիտանելության ժամկետը): Մատակարարման պահին արտադրման ամսաթվից կարող  է անցած լինել առավելագույնը մեկ տարի։ Յուրաքանչյուր քարթրիջ պատվիրատուի կամայական ընտրությամբ, կարող է ենթարկվել փորձարկման՝ սույն տեխնիկական բնութագրին համապատասխան որակը ստուգելու համար: Ապրանքի տեղափոխումը և բեռնաթափումը իրականացնում է Մատակարարը իր միջոցներով և իր հաշվին: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(DDR3 4GB)
Օպերատիվ հիշողություն` DDR3 4GB: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4GB)
Օպերատիվ հիշողություն` DDR4 4GB: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(DDR4 8GB)
Օպերատիվ հիշողություն` DDR4 8GB: *Մատակարարված ապրանքը պետք է լինի նոր՝ չօգտագործված: Ապրանքի տեղափոխումը և բեռնաթափումը իրականացնում է մատակարարը իր միջոցներով և իր հաշվին: Երաշխիքային ժամկետ՝ առնվազն 1 տարի: Երաշխիքի ընթացքում ի հայտ եկած թերությունները մատակարարը պետք է սեփական միջոցներով շտկի կամ փոխարինի նորով՝ 3-5 օրում,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ականջակալներ խոսափողով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DVD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 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ձայնագրող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տեսաքարտեր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