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скамеек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42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42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ԵՔ-ԷԱՃԱՊՁԲ-26/163</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скамеек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скамеек</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скамеек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42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15</w:t>
      </w:r>
      <w:r w:rsidRPr="00E4651F">
        <w:rPr>
          <w:rFonts w:cstheme="minorHAnsi"/>
          <w:color w:val="000000" w:themeColor="text1"/>
          <w:lang w:val="ru-RU"/>
        </w:rPr>
        <w:t xml:space="preserve"> (</w:t>
      </w:r>
      <w:r w:rsidR="00091D85" w:rsidRPr="00091D85">
        <w:rPr>
          <w:rFonts w:cstheme="minorHAnsi"/>
          <w:lang w:val="hy-AM"/>
        </w:rPr>
        <w:t>пятнадцать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являются металлические скамейки. Размеры: 500*880*450 мм, l = 1900 мм, корпус 60*60*2,5 мм из металлической квадратной трубы, внешние размеры - 600*880*1900 мм, металлические сварные соединения, металлические детали зеленого цвета, а деревянные детали водонепроницаемые, лакированные, присоединения деревянных частей болтовые, в середине деревянной части спинки должна быть надпись «АРАБКИР», размеры - 80 * 40 мм. Структурная схема прилагается. Поставка и установка производит Поставщик. Гарантинный срок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договора/соглашения в силу  до 30.06.2026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