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7C536" w14:textId="77A0D2A9" w:rsidR="009C6E96" w:rsidRDefault="003F4ECD" w:rsidP="003F4ECD">
      <w:pPr>
        <w:jc w:val="right"/>
        <w:rPr>
          <w:rFonts w:ascii="GHEA Grapalat" w:hAnsi="GHEA Grapalat"/>
          <w:b/>
          <w:bCs/>
          <w:sz w:val="24"/>
          <w:szCs w:val="24"/>
          <w:lang w:val="en-US"/>
        </w:rPr>
      </w:pPr>
      <w:r w:rsidRPr="003F4ECD">
        <w:rPr>
          <w:rFonts w:ascii="GHEA Grapalat" w:hAnsi="GHEA Grapalat"/>
          <w:b/>
          <w:bCs/>
          <w:sz w:val="24"/>
          <w:szCs w:val="24"/>
          <w:lang w:val="en-US"/>
        </w:rPr>
        <w:t>ՀԱՎԵԼՎԱԾ</w:t>
      </w:r>
    </w:p>
    <w:p w14:paraId="42EA1A2F" w14:textId="77777777" w:rsidR="003F4ECD" w:rsidRDefault="003F4ECD" w:rsidP="003F4ECD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r w:rsidRPr="00E253DC">
        <w:rPr>
          <w:rFonts w:ascii="GHEA Grapalat" w:hAnsi="GHEA Grapalat"/>
          <w:b/>
          <w:sz w:val="24"/>
        </w:rPr>
        <w:t>ՏԵԽՆԻԿԱԿԱՆ</w:t>
      </w:r>
      <w:r w:rsidRPr="00E253DC">
        <w:rPr>
          <w:rFonts w:ascii="GHEA Grapalat" w:hAnsi="GHEA Grapalat"/>
          <w:b/>
          <w:sz w:val="24"/>
          <w:lang w:val="pt-BR"/>
        </w:rPr>
        <w:t xml:space="preserve"> </w:t>
      </w:r>
      <w:r w:rsidRPr="00E253DC">
        <w:rPr>
          <w:rFonts w:ascii="GHEA Grapalat" w:hAnsi="GHEA Grapalat"/>
          <w:b/>
          <w:sz w:val="24"/>
        </w:rPr>
        <w:t>ԲՆՈՒԹԱԳԻՐ</w:t>
      </w:r>
      <w:r w:rsidRPr="00E253DC">
        <w:rPr>
          <w:rFonts w:ascii="GHEA Grapalat" w:hAnsi="GHEA Grapalat"/>
          <w:b/>
          <w:sz w:val="24"/>
          <w:lang w:val="af-ZA"/>
        </w:rPr>
        <w:t xml:space="preserve"> – </w:t>
      </w:r>
      <w:r w:rsidRPr="00E253DC">
        <w:rPr>
          <w:rFonts w:ascii="GHEA Grapalat" w:hAnsi="GHEA Grapalat"/>
          <w:b/>
          <w:sz w:val="24"/>
        </w:rPr>
        <w:t>ԳՆՄԱՆ</w:t>
      </w:r>
      <w:r w:rsidRPr="00E253DC">
        <w:rPr>
          <w:rFonts w:ascii="GHEA Grapalat" w:hAnsi="GHEA Grapalat"/>
          <w:b/>
          <w:sz w:val="24"/>
          <w:lang w:val="pt-BR"/>
        </w:rPr>
        <w:t xml:space="preserve"> </w:t>
      </w:r>
      <w:r w:rsidRPr="00E253DC">
        <w:rPr>
          <w:rFonts w:ascii="GHEA Grapalat" w:hAnsi="GHEA Grapalat"/>
          <w:b/>
          <w:sz w:val="24"/>
        </w:rPr>
        <w:t>ԺԱՄԱՆԱԿԱՑՈՒՅՑ</w:t>
      </w:r>
      <w:bookmarkStart w:id="0" w:name="_Hlk17205613"/>
      <w:r w:rsidRPr="00363F83">
        <w:rPr>
          <w:rFonts w:ascii="GHEA Grapalat" w:hAnsi="GHEA Grapalat"/>
          <w:b/>
          <w:sz w:val="24"/>
          <w:lang w:val="pt-BR"/>
        </w:rPr>
        <w:t>*</w:t>
      </w:r>
    </w:p>
    <w:p w14:paraId="29FB5857" w14:textId="77777777" w:rsidR="003F4ECD" w:rsidRPr="00363F83" w:rsidRDefault="003F4ECD" w:rsidP="003F4ECD">
      <w:pPr>
        <w:tabs>
          <w:tab w:val="left" w:pos="2844"/>
        </w:tabs>
        <w:spacing w:after="0" w:line="240" w:lineRule="auto"/>
        <w:jc w:val="center"/>
        <w:rPr>
          <w:rFonts w:ascii="GHEA Grapalat" w:hAnsi="GHEA Grapalat"/>
          <w:b/>
          <w:sz w:val="24"/>
          <w:lang w:val="pt-BR"/>
        </w:rPr>
      </w:pPr>
    </w:p>
    <w:p w14:paraId="2A78BE39" w14:textId="77777777" w:rsidR="003F4ECD" w:rsidRPr="00E253DC" w:rsidRDefault="003F4ECD" w:rsidP="003F4ECD">
      <w:pPr>
        <w:tabs>
          <w:tab w:val="left" w:pos="2844"/>
        </w:tabs>
        <w:spacing w:after="0" w:line="240" w:lineRule="auto"/>
        <w:ind w:right="-630"/>
        <w:jc w:val="right"/>
        <w:rPr>
          <w:rFonts w:ascii="GHEA Grapalat" w:hAnsi="GHEA Grapalat"/>
          <w:b/>
          <w:sz w:val="24"/>
          <w:lang w:val="pt-BR"/>
        </w:rPr>
      </w:pPr>
      <w:r w:rsidRPr="00AB3CAD">
        <w:rPr>
          <w:rFonts w:ascii="GHEA Grapalat" w:eastAsia="GHEA Grapalat" w:hAnsi="GHEA Grapalat" w:cs="GHEA Grapalat"/>
          <w:sz w:val="20"/>
          <w:szCs w:val="20"/>
          <w:lang w:val="pt-BR"/>
        </w:rPr>
        <w:t xml:space="preserve">  </w:t>
      </w:r>
      <w:r w:rsidRPr="00E253DC">
        <w:rPr>
          <w:rFonts w:ascii="GHEA Grapalat" w:eastAsia="GHEA Grapalat" w:hAnsi="GHEA Grapalat" w:cs="GHEA Grapalat"/>
          <w:sz w:val="20"/>
          <w:szCs w:val="20"/>
        </w:rPr>
        <w:t>ՀՀ դրամ</w:t>
      </w:r>
    </w:p>
    <w:tbl>
      <w:tblPr>
        <w:tblpPr w:leftFromText="180" w:rightFromText="180" w:vertAnchor="text" w:tblpXSpec="center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22"/>
        <w:gridCol w:w="1255"/>
        <w:gridCol w:w="1438"/>
        <w:gridCol w:w="3332"/>
        <w:gridCol w:w="1204"/>
        <w:gridCol w:w="999"/>
        <w:gridCol w:w="720"/>
        <w:gridCol w:w="833"/>
        <w:gridCol w:w="992"/>
        <w:gridCol w:w="850"/>
        <w:gridCol w:w="1701"/>
      </w:tblGrid>
      <w:tr w:rsidR="003F4ECD" w:rsidRPr="007A3DCB" w14:paraId="46AE65D3" w14:textId="77777777" w:rsidTr="001E6399">
        <w:trPr>
          <w:trHeight w:val="285"/>
        </w:trPr>
        <w:tc>
          <w:tcPr>
            <w:tcW w:w="558" w:type="dxa"/>
            <w:vMerge w:val="restart"/>
            <w:vAlign w:val="center"/>
          </w:tcPr>
          <w:bookmarkEnd w:id="0"/>
          <w:p w14:paraId="75266885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af-ZA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Չ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>/</w:t>
            </w: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հ</w:t>
            </w:r>
          </w:p>
        </w:tc>
        <w:tc>
          <w:tcPr>
            <w:tcW w:w="14746" w:type="dxa"/>
            <w:gridSpan w:val="11"/>
            <w:vAlign w:val="center"/>
          </w:tcPr>
          <w:p w14:paraId="5D84B206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Ապրանքի</w:t>
            </w:r>
          </w:p>
        </w:tc>
      </w:tr>
      <w:tr w:rsidR="003F4ECD" w:rsidRPr="007A3DCB" w14:paraId="61FB80E8" w14:textId="77777777" w:rsidTr="001E6399">
        <w:trPr>
          <w:trHeight w:val="70"/>
        </w:trPr>
        <w:tc>
          <w:tcPr>
            <w:tcW w:w="558" w:type="dxa"/>
            <w:vMerge/>
            <w:vAlign w:val="center"/>
          </w:tcPr>
          <w:p w14:paraId="2B851ABB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af-ZA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C5F51ED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af-ZA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Միջանցիկծածկագի</w:t>
            </w:r>
          </w:p>
          <w:p w14:paraId="5FD6AA57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af-ZA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րը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` </w:t>
            </w: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ըստ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ԳՄԱ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</w:t>
            </w: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դասակարգման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255" w:type="dxa"/>
            <w:vMerge w:val="restart"/>
            <w:vAlign w:val="center"/>
          </w:tcPr>
          <w:p w14:paraId="4951C31E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Ա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1438" w:type="dxa"/>
            <w:vMerge w:val="restart"/>
            <w:vAlign w:val="center"/>
          </w:tcPr>
          <w:p w14:paraId="60B724DF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DCB">
              <w:rPr>
                <w:rFonts w:ascii="GHEA Grapalat" w:hAnsi="GHEA Grapalat"/>
                <w:sz w:val="18"/>
                <w:szCs w:val="18"/>
              </w:rPr>
              <w:t>Ապրանքային նշանը, ֆիրմային անվանումը, մոդելը և արտադրողի անվանումը**</w:t>
            </w:r>
          </w:p>
        </w:tc>
        <w:tc>
          <w:tcPr>
            <w:tcW w:w="3332" w:type="dxa"/>
            <w:vMerge w:val="restart"/>
            <w:vAlign w:val="center"/>
          </w:tcPr>
          <w:p w14:paraId="6D0E6A15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3DCB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14:paraId="5D08971F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hAnsi="GHEA Grapalat"/>
                <w:sz w:val="18"/>
                <w:szCs w:val="18"/>
              </w:rPr>
              <w:t>(տեխնիկական բնութագիր)***</w:t>
            </w:r>
          </w:p>
        </w:tc>
        <w:tc>
          <w:tcPr>
            <w:tcW w:w="1204" w:type="dxa"/>
            <w:vMerge w:val="restart"/>
            <w:vAlign w:val="center"/>
          </w:tcPr>
          <w:p w14:paraId="2D9A64E4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Չ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ափման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9" w:type="dxa"/>
            <w:vMerge w:val="restart"/>
            <w:vAlign w:val="center"/>
          </w:tcPr>
          <w:p w14:paraId="171D567F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Մ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իավոր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գինը</w:t>
            </w:r>
            <w:proofErr w:type="spellEnd"/>
          </w:p>
          <w:p w14:paraId="5B8C0D8B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(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դրամ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)</w:t>
            </w:r>
          </w:p>
        </w:tc>
        <w:tc>
          <w:tcPr>
            <w:tcW w:w="720" w:type="dxa"/>
            <w:vMerge w:val="restart"/>
            <w:vAlign w:val="center"/>
          </w:tcPr>
          <w:p w14:paraId="26F06B4F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Ընդհանուր</w:t>
            </w:r>
          </w:p>
          <w:p w14:paraId="7051790F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քանակը</w:t>
            </w:r>
          </w:p>
        </w:tc>
        <w:tc>
          <w:tcPr>
            <w:tcW w:w="833" w:type="dxa"/>
            <w:vMerge w:val="restart"/>
            <w:vAlign w:val="center"/>
          </w:tcPr>
          <w:p w14:paraId="009E199B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Գումար</w:t>
            </w:r>
          </w:p>
          <w:p w14:paraId="4C490B2D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(</w:t>
            </w:r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դրամ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)</w:t>
            </w:r>
          </w:p>
        </w:tc>
        <w:tc>
          <w:tcPr>
            <w:tcW w:w="3543" w:type="dxa"/>
            <w:gridSpan w:val="3"/>
            <w:vAlign w:val="center"/>
          </w:tcPr>
          <w:p w14:paraId="293E9C36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Մատակարարման</w:t>
            </w:r>
          </w:p>
        </w:tc>
      </w:tr>
      <w:tr w:rsidR="003F4ECD" w:rsidRPr="007A3DCB" w14:paraId="4B3AF06D" w14:textId="77777777" w:rsidTr="001E6399">
        <w:trPr>
          <w:trHeight w:val="602"/>
        </w:trPr>
        <w:tc>
          <w:tcPr>
            <w:tcW w:w="558" w:type="dxa"/>
            <w:vMerge/>
            <w:vAlign w:val="center"/>
          </w:tcPr>
          <w:p w14:paraId="088D3474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422" w:type="dxa"/>
            <w:vMerge/>
            <w:vAlign w:val="center"/>
          </w:tcPr>
          <w:p w14:paraId="2C21F665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255" w:type="dxa"/>
            <w:vMerge/>
            <w:vAlign w:val="center"/>
          </w:tcPr>
          <w:p w14:paraId="2DF659A2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14:paraId="5ED966A1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3332" w:type="dxa"/>
            <w:vMerge/>
            <w:vAlign w:val="center"/>
          </w:tcPr>
          <w:p w14:paraId="554312F7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1204" w:type="dxa"/>
            <w:vMerge/>
            <w:vAlign w:val="center"/>
          </w:tcPr>
          <w:p w14:paraId="093B7DD4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999" w:type="dxa"/>
            <w:vMerge/>
            <w:tcBorders>
              <w:bottom w:val="single" w:sz="4" w:space="0" w:color="auto"/>
            </w:tcBorders>
            <w:vAlign w:val="center"/>
          </w:tcPr>
          <w:p w14:paraId="4A56D74D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008E820A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833" w:type="dxa"/>
            <w:vMerge/>
            <w:vAlign w:val="center"/>
          </w:tcPr>
          <w:p w14:paraId="761F5DAC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59777D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Հ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850" w:type="dxa"/>
            <w:vAlign w:val="center"/>
          </w:tcPr>
          <w:p w14:paraId="7F49B9EB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ru-RU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Ե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նթա</w:t>
            </w:r>
            <w:proofErr w:type="spellEnd"/>
          </w:p>
          <w:p w14:paraId="4A6E5F76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Կա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քանակը</w:t>
            </w:r>
            <w:proofErr w:type="spellEnd"/>
          </w:p>
        </w:tc>
        <w:tc>
          <w:tcPr>
            <w:tcW w:w="1701" w:type="dxa"/>
            <w:vAlign w:val="center"/>
          </w:tcPr>
          <w:p w14:paraId="07510BB6" w14:textId="77777777" w:rsidR="003F4ECD" w:rsidRPr="007A3DCB" w:rsidRDefault="003F4EC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Ժ</w:t>
            </w:r>
            <w:proofErr w:type="spellStart"/>
            <w:r w:rsidRPr="007A3DCB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ամկետը</w:t>
            </w:r>
            <w:proofErr w:type="spellEnd"/>
            <w:r w:rsidRPr="007A3DCB">
              <w:rPr>
                <w:rFonts w:ascii="GHEA Grapalat" w:eastAsia="Times New Roman" w:hAnsi="GHEA Grapalat"/>
                <w:sz w:val="18"/>
                <w:szCs w:val="18"/>
              </w:rPr>
              <w:t>*</w:t>
            </w:r>
          </w:p>
        </w:tc>
      </w:tr>
      <w:tr w:rsidR="003F4ECD" w:rsidRPr="007A3DCB" w14:paraId="13BA981E" w14:textId="77777777" w:rsidTr="001E6399">
        <w:trPr>
          <w:cantSplit/>
          <w:trHeight w:val="1125"/>
        </w:trPr>
        <w:tc>
          <w:tcPr>
            <w:tcW w:w="558" w:type="dxa"/>
            <w:shd w:val="clear" w:color="auto" w:fill="auto"/>
            <w:vAlign w:val="center"/>
          </w:tcPr>
          <w:p w14:paraId="2F265EFD" w14:textId="77777777" w:rsidR="003F4ECD" w:rsidRPr="007A3DCB" w:rsidRDefault="003F4ECD" w:rsidP="001E6399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DE22" w14:textId="77777777" w:rsidR="003F4ECD" w:rsidRPr="006E22D4" w:rsidRDefault="003F4ECD" w:rsidP="001E6399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</w:pPr>
            <w:r w:rsidRPr="006E22D4"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  <w:t>35121341/516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4B077" w14:textId="77777777" w:rsidR="003F4ECD" w:rsidRPr="006E22D4" w:rsidRDefault="003F4ECD" w:rsidP="001E6399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</w:pPr>
            <w:r w:rsidRPr="006E22D4">
              <w:rPr>
                <w:rFonts w:ascii="GHEA Grapalat" w:hAnsi="GHEA Grapalat"/>
                <w:sz w:val="18"/>
                <w:szCs w:val="18"/>
              </w:rPr>
              <w:t>Թվային ՊՇՌ (dPCR) համակարգ</w:t>
            </w:r>
          </w:p>
        </w:tc>
        <w:tc>
          <w:tcPr>
            <w:tcW w:w="1438" w:type="dxa"/>
            <w:vAlign w:val="center"/>
          </w:tcPr>
          <w:p w14:paraId="1202B7A6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</w:p>
        </w:tc>
        <w:tc>
          <w:tcPr>
            <w:tcW w:w="3332" w:type="dxa"/>
            <w:vAlign w:val="center"/>
          </w:tcPr>
          <w:p w14:paraId="0D4C1CD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Նվազագույն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տեխնիկական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բնութագրեր</w:t>
            </w:r>
            <w:proofErr w:type="spellEnd"/>
          </w:p>
          <w:p w14:paraId="3BFC4804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Քանակ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: 1</w:t>
            </w:r>
          </w:p>
          <w:p w14:paraId="58639359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1)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Հիմնական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տեխնիկական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պահանջներ</w:t>
            </w:r>
            <w:proofErr w:type="spellEnd"/>
          </w:p>
          <w:p w14:paraId="7F18AB9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Տեխնոլոգիա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Workflow</w:t>
            </w:r>
            <w:proofErr w:type="spellEnd"/>
          </w:p>
          <w:p w14:paraId="707D0159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Համակարգը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կիրառի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միկրոֆլյուիդային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տեխնոլոգիա</w:t>
            </w:r>
            <w:proofErr w:type="spellEnd"/>
          </w:p>
          <w:p w14:paraId="06A9A6A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Աշխատանքային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գործընթացը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լինի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պարզ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պահանջի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միայն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hands-on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քայլ</w:t>
            </w:r>
            <w:proofErr w:type="spellEnd"/>
          </w:p>
          <w:p w14:paraId="356AF6C3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Ծախսվող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նյութերը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թիթեղային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միկրոֆլյուիդային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պլատֆորմ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plate-based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պարտադիր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plate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loading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QC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ֆունկցիա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6389631D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dPCR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-ի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փուլերը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digitization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7A3DCB">
              <w:rPr>
                <w:rFonts w:ascii="Courier New" w:hAnsi="Courier New" w:cs="Courier New"/>
                <w:sz w:val="18"/>
                <w:szCs w:val="18"/>
                <w:lang w:val="ru-RU"/>
              </w:rPr>
              <w:t>→</w:t>
            </w: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thermal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cycling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7A3DCB">
              <w:rPr>
                <w:rFonts w:ascii="Courier New" w:hAnsi="Courier New" w:cs="Courier New"/>
                <w:sz w:val="18"/>
                <w:szCs w:val="18"/>
                <w:lang w:val="ru-RU"/>
              </w:rPr>
              <w:t>→</w:t>
            </w: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data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acquisition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իրականացվեն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սարքի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մեջ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single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equipment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workflow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)։</w:t>
            </w:r>
          </w:p>
          <w:p w14:paraId="28AC4C4B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Օպտիկա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մուլտիպլեքսավորում</w:t>
            </w:r>
            <w:proofErr w:type="spellEnd"/>
          </w:p>
          <w:p w14:paraId="74F79D4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Դետեկցիայի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ալիքներ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ֆլուորեսցենտ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ալիք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ներառյալ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QC/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ռեֆերենս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ալիք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)։</w:t>
            </w:r>
          </w:p>
          <w:p w14:paraId="5A59AA4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Համատեղելի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ֆլուորեսցենտ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ներկեր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FAM, HEX, VIC, ABY, ROX, JUN, Cy5®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այլ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նմանատիպ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սպեկտրալ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բնութագրերով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համարժեք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ֆլուորեսցենտ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ներկեր</w:t>
            </w:r>
            <w:proofErr w:type="spellEnd"/>
          </w:p>
          <w:p w14:paraId="3CE7090A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Մուլտիպլեքսավորում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միաժամանակ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2–4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թիրախի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վերլուծություն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օպտիկական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ալիք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06529FE6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o</w:t>
            </w: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Absolute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Q-ի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մուլտիպլեքսավորում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մինչև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4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օպտիկական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ալիքով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2ACCF72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Ծրագրային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ապահովում</w:t>
            </w:r>
            <w:proofErr w:type="spellEnd"/>
          </w:p>
          <w:p w14:paraId="14332ACE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Տվյալների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ստացում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վերլուծություն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ինտեգրված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ծրագրային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ապահովմամբ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պրոտոկոլների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պահպանում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վերաբեռնում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արդյունքների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արտահանում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հաշվետվություն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09FDCFD2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2)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Արտադրողականություն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վերլուծական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պարամետրեր</w:t>
            </w:r>
            <w:proofErr w:type="spellEnd"/>
          </w:p>
          <w:p w14:paraId="691A5A7E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վազքի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տևողությունը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ավել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1.5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ժամ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330E7E3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2D328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Դինամիկ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միջակայք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5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կարգ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4E0E14F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2D328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Զգայունություն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1–100,000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copies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0D4859E0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2D328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Ճշգրտություն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առավելագույնը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±10%։</w:t>
            </w:r>
          </w:p>
          <w:p w14:paraId="2BAC94A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Թողունակություն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մինչև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16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նմուշ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վազքում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4-ի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բազմապատիկներով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(4/8/12/16)։</w:t>
            </w:r>
          </w:p>
          <w:p w14:paraId="16D0BACB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•</w:t>
            </w:r>
            <w:r w:rsidRPr="002D328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Ռեակցիայի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ծավալ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: &lt;10 µL։</w:t>
            </w:r>
          </w:p>
          <w:p w14:paraId="609AC095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3)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Միկրախցիկներ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QC</w:t>
            </w:r>
          </w:p>
          <w:p w14:paraId="2BDAEEDE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Միկրախցիկների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քանակ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20,000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միկրախցիկ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ռեակցիայի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պարտադիր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loading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QC և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եթե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ներառված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համակարգում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կեղծ-դրականների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ավտոմատ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բացառման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մեխանիզմ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090A933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Վերլուծվող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նմուշի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տոկոս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պակաս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90%։</w:t>
            </w:r>
          </w:p>
          <w:p w14:paraId="75BE734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 xml:space="preserve">4)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Չափեր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քաշ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միացումներ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շահագործում</w:t>
            </w:r>
            <w:proofErr w:type="spellEnd"/>
          </w:p>
          <w:p w14:paraId="265963E1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Չափեր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ավելի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63 × 61 × 55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4E59769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Քաշ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ավելի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62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կգ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59278679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Միացում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USB 3.0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համակարգչի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5C5EC751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Օդափոխություն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սառեցում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հարկադիր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կոնվեկցիա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3B1155D4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Լուսավորում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կարմիր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կապույտ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կանաչ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բարձր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հզորության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LED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համարժեք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)։</w:t>
            </w:r>
          </w:p>
          <w:p w14:paraId="231672F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Սնուցում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100–240 VAC, 50–60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Hz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2F455C7A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Աղմուկ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ավելի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քան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71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dB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12F979A2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5)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Լրացուցիչ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պահանջներ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պարտադիր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07BBF001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Սարքը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մատակարարվի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համակարգչով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                                         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Սարքը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մատակարարվի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անխափան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սնուցման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աղբյուրի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հետ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որը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համապատասխանի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հետևյալ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նվազագույն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տեխնիկական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բնութագրին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                                                                           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Տիպ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ab/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առցանց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անխափան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սնուցման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աղբյուր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իրական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կրկնակի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փոխարկում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True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Double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Conversion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աշտարակային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(Tower)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Ազդանշանի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ելքային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ձև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մաքուր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սինուսոիդ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(Pure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Sinewave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4FF31A06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Հզորություն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3C3A32D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Նոմինալ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3000 ՎԱ / 2700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ՎտՆոմինալ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3000 ՎԱ / 2700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Վտ</w:t>
            </w:r>
            <w:proofErr w:type="spellEnd"/>
          </w:p>
          <w:p w14:paraId="1FBD5A11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Ելքային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պիկոֆարադ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 0.9</w:t>
            </w:r>
          </w:p>
          <w:p w14:paraId="3E351099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Մուտքային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չափանիշներ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14CA8FEE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Նոմինալ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մուտքային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լարում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 230 Վ</w:t>
            </w:r>
          </w:p>
          <w:p w14:paraId="3A0068D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Մուտքային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լարման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միջակայք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3CC2CF9B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  120–300 Վ (~50%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ծանրաբեռնվածության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դեպքում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18A33C70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 180–280 Վ (100%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ծանրաբեռնվածության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դեպքում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</w:t>
            </w:r>
          </w:p>
          <w:p w14:paraId="495240F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Մուտքային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հաճախականության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միջակայք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40–70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Հց</w:t>
            </w:r>
            <w:proofErr w:type="spellEnd"/>
          </w:p>
          <w:p w14:paraId="7393515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Մարտկոցներ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ավտոնոմիա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75A4825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Ներկառուցված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մարտկոց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6 × 12Վ*,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տիպ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HR09122F</w:t>
            </w:r>
          </w:p>
          <w:p w14:paraId="43296108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Լիցքավորման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ժամանակ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~4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ժամ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մինչև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տարողության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90%</w:t>
            </w:r>
          </w:p>
          <w:p w14:paraId="257C3B83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Լիցքավորման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հոսանքի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ուժը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առավելագույնը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)՝ 1.0 Ա</w:t>
            </w:r>
          </w:p>
          <w:p w14:paraId="2A03CEA2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Վարդակներ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պաշտպանություն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ինդիկացիա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6F1ADF9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Ելքային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վարդակներ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4 ×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Schuko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Battery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Backup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&amp;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Surge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Protection)</w:t>
            </w:r>
          </w:p>
          <w:p w14:paraId="75015DCD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Պաշտպանություն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գերլարվածություն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գերլարում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պաշտպանություն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խորը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լիցքավորումից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գերլիցքավորումից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պաշտպանություն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մուտքային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ազդակներից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կարճ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միացումից</w:t>
            </w:r>
            <w:proofErr w:type="spellEnd"/>
          </w:p>
          <w:p w14:paraId="507884A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Աղմուկ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&lt; 50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դԲ</w:t>
            </w:r>
            <w:proofErr w:type="spellEnd"/>
          </w:p>
          <w:p w14:paraId="3A86966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Չափեր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զանգված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՝</w:t>
            </w:r>
          </w:p>
          <w:p w14:paraId="58458234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Չափեր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լայնություն×խորություն×բարձրություն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)՝ 421 × 190 × 318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մմ</w:t>
            </w:r>
            <w:proofErr w:type="spellEnd"/>
          </w:p>
          <w:p w14:paraId="7DA0DDFA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Զանգված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նետտո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)՝ 25.-30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կգ</w:t>
            </w:r>
            <w:proofErr w:type="spellEnd"/>
          </w:p>
          <w:p w14:paraId="1F70BEE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o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Մալուխի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երկարություն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~ 2 մ                                                                          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</w:t>
            </w:r>
            <w:proofErr w:type="spellEnd"/>
          </w:p>
          <w:p w14:paraId="435859CB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Թվային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ՊՇՌ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համակարգի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գինը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ներառի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առաքում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տեղադրում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գործարկում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2F798B3A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Մատակարարը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պետք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է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ունենա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արտադրողի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կողմից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վերապատրաստված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սերվիս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ինժեներներ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տեղում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64DEF8AD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Պարտադիր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արտադրողի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Authorization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/ MAF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letter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մատակարարման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սպասարկման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լիազորությամբ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  <w:p w14:paraId="58F6DF0F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6)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Սերտիֆիկատներ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և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երաշխիք</w:t>
            </w:r>
            <w:proofErr w:type="spellEnd"/>
          </w:p>
          <w:p w14:paraId="11D836F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lastRenderedPageBreak/>
              <w:t>• CE, ISO 9001, ISO 13485 (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ներկայացնել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հաստատող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փաստաթղթեր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)։</w:t>
            </w:r>
          </w:p>
          <w:p w14:paraId="2EC16684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•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Երաշխիք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առնվազն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24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ամիս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՝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տեղադրումից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/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գործարկումից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հետո</w:t>
            </w:r>
            <w:proofErr w:type="spellEnd"/>
            <w:r w:rsidRPr="007A3DCB">
              <w:rPr>
                <w:rFonts w:ascii="GHEA Grapalat" w:hAnsi="GHEA Grapalat" w:cs="Calibri"/>
                <w:sz w:val="18"/>
                <w:szCs w:val="18"/>
                <w:lang w:val="ru-RU"/>
              </w:rPr>
              <w:t>։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A60D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FF0000"/>
                <w:sz w:val="18"/>
                <w:szCs w:val="18"/>
                <w:highlight w:val="yellow"/>
              </w:rPr>
            </w:pPr>
            <w:r w:rsidRPr="007A3DCB">
              <w:rPr>
                <w:rFonts w:ascii="GHEA Grapalat" w:hAnsi="GHEA Grapalat" w:cs="Calibri"/>
                <w:bCs/>
                <w:color w:val="FF0000"/>
                <w:sz w:val="18"/>
                <w:szCs w:val="18"/>
              </w:rPr>
              <w:lastRenderedPageBreak/>
              <w:t>լրակազմ</w:t>
            </w:r>
          </w:p>
        </w:tc>
        <w:tc>
          <w:tcPr>
            <w:tcW w:w="999" w:type="dxa"/>
            <w:textDirection w:val="btLr"/>
            <w:vAlign w:val="center"/>
          </w:tcPr>
          <w:p w14:paraId="649D213A" w14:textId="0C78275C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0AC79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FF0000"/>
                <w:sz w:val="18"/>
                <w:szCs w:val="18"/>
              </w:rPr>
            </w:pPr>
            <w:r w:rsidRPr="007A3DCB">
              <w:rPr>
                <w:rFonts w:ascii="GHEA Grapalat" w:hAnsi="GHEA Grapalat" w:cs="Calibri"/>
                <w:bCs/>
                <w:color w:val="FF0000"/>
                <w:sz w:val="18"/>
                <w:szCs w:val="18"/>
              </w:rPr>
              <w:t>1</w:t>
            </w:r>
          </w:p>
        </w:tc>
        <w:tc>
          <w:tcPr>
            <w:tcW w:w="833" w:type="dxa"/>
            <w:shd w:val="clear" w:color="auto" w:fill="auto"/>
            <w:textDirection w:val="btLr"/>
            <w:vAlign w:val="center"/>
          </w:tcPr>
          <w:p w14:paraId="49B58835" w14:textId="788AB0E3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437229C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7A3DCB">
              <w:rPr>
                <w:rFonts w:ascii="GHEA Grapalat" w:hAnsi="GHEA Grapalat" w:cs="Arial"/>
                <w:color w:val="000000"/>
                <w:sz w:val="18"/>
                <w:szCs w:val="18"/>
              </w:rPr>
              <w:t>Պ</w:t>
            </w:r>
            <w:r w:rsidRPr="007A3DCB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>
              <w:rPr>
                <w:rFonts w:ascii="Cambria Math" w:hAnsi="Cambria Math" w:cs="Cambria Math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Սև</w:t>
            </w:r>
            <w:proofErr w:type="spellEnd"/>
            <w:r w:rsidRPr="007A3DCB">
              <w:rPr>
                <w:rFonts w:ascii="GHEA Grapalat" w:hAnsi="GHEA Grapalat" w:cs="Arial"/>
                <w:color w:val="000000"/>
                <w:sz w:val="18"/>
                <w:szCs w:val="18"/>
              </w:rPr>
              <w:t>ակ 7, 0014, Երևան:</w:t>
            </w:r>
          </w:p>
          <w:p w14:paraId="62378DD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84962C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7A3DCB">
              <w:rPr>
                <w:rFonts w:ascii="GHEA Grapalat" w:hAnsi="GHEA Grapalat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5F0E77" w14:textId="77777777" w:rsidR="003F4ECD" w:rsidRPr="007A3DCB" w:rsidRDefault="003F4EC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A3DCB">
              <w:rPr>
                <w:rFonts w:ascii="GHEA Grapalat" w:hAnsi="GHEA Grapalat" w:cs="Calibri"/>
                <w:sz w:val="18"/>
                <w:szCs w:val="18"/>
              </w:rPr>
              <w:t xml:space="preserve">Պայմանագիրը կնքվելու է «Գնումների մասին» ՀՀ օրենքի 15-րդ հոդվածի 6-րդ մասի 2)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հետո, սահմանելով, որ մատակարարումն </w:t>
            </w:r>
            <w:r w:rsidRPr="007A3DCB">
              <w:rPr>
                <w:rFonts w:ascii="GHEA Grapalat" w:hAnsi="GHEA Grapalat" w:cs="Calibri"/>
                <w:sz w:val="18"/>
                <w:szCs w:val="18"/>
              </w:rPr>
              <w:lastRenderedPageBreak/>
              <w:t xml:space="preserve">իրականացվելու </w:t>
            </w:r>
            <w:r w:rsidRPr="007A3DCB">
              <w:rPr>
                <w:rFonts w:ascii="GHEA Grapalat" w:hAnsi="GHEA Grapalat" w:cs="Calibri"/>
                <w:color w:val="FF0000"/>
                <w:sz w:val="18"/>
                <w:szCs w:val="18"/>
              </w:rPr>
              <w:t xml:space="preserve">է 2 ամսվա ընթացքում, </w:t>
            </w:r>
            <w:r w:rsidRPr="007A3DCB">
              <w:rPr>
                <w:rFonts w:ascii="GHEA Grapalat" w:hAnsi="GHEA Grapalat" w:cs="Calibri"/>
                <w:sz w:val="18"/>
                <w:szCs w:val="18"/>
              </w:rPr>
              <w:t>բացառությամբ այն դեպքերի, երբ ապրանքի մատակարարը համաձայն է ավելի շուտ ժամկետներում մատակարարել</w:t>
            </w:r>
          </w:p>
        </w:tc>
      </w:tr>
    </w:tbl>
    <w:p w14:paraId="786A62CE" w14:textId="77777777" w:rsidR="003F4ECD" w:rsidRPr="00F9433C" w:rsidRDefault="003F4ECD" w:rsidP="003F4ECD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sz w:val="18"/>
          <w:szCs w:val="18"/>
          <w:lang w:val="pt-BR"/>
        </w:rPr>
      </w:pPr>
      <w:bookmarkStart w:id="1" w:name="_Hlk124437772"/>
      <w:r>
        <w:rPr>
          <w:rFonts w:ascii="GHEA Grapalat" w:eastAsia="Calibri" w:hAnsi="GHEA Grapalat"/>
          <w:color w:val="FF0000"/>
          <w:sz w:val="16"/>
          <w:szCs w:val="18"/>
          <w:lang w:val="pt-BR"/>
        </w:rPr>
        <w:lastRenderedPageBreak/>
        <w:t>*</w:t>
      </w:r>
      <w:r w:rsidRPr="00FA279A">
        <w:rPr>
          <w:rFonts w:ascii="GHEA Grapalat" w:eastAsia="Calibri" w:hAnsi="GHEA Grapalat"/>
          <w:color w:val="FF0000"/>
          <w:sz w:val="16"/>
          <w:szCs w:val="18"/>
          <w:lang w:val="pt-BR"/>
        </w:rPr>
        <w:t>Սույն գնման ընթացակարգն իրականացվում է «Գնումների մասին» ՀՀ օրենքի 15-րդ հոդվածի 6-րդ մասի 2) ենթակետով սահմանված պահանջների համաձայն` հաշվարկն իրականացնելով ֆինանսական միջոցներ նախատեսվելու դեպքում կողմերի միջև կնքվող համաձայնագրի ուժի մեջ մտնելու օրվանից</w:t>
      </w:r>
    </w:p>
    <w:p w14:paraId="245D7A9D" w14:textId="77777777" w:rsidR="003F4ECD" w:rsidRPr="00FA279A" w:rsidRDefault="003F4ECD" w:rsidP="003F4ECD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FA279A">
        <w:rPr>
          <w:rFonts w:ascii="GHEA Grapalat" w:eastAsia="Calibri" w:hAnsi="GHEA Grapalat"/>
          <w:sz w:val="16"/>
          <w:szCs w:val="18"/>
          <w:lang w:val="pt-BR"/>
        </w:rPr>
        <w:t>*</w:t>
      </w:r>
      <w:r>
        <w:rPr>
          <w:rFonts w:ascii="GHEA Grapalat" w:eastAsia="Calibri" w:hAnsi="GHEA Grapalat"/>
          <w:sz w:val="16"/>
          <w:szCs w:val="18"/>
          <w:lang w:val="pt-BR"/>
        </w:rPr>
        <w:t>*</w:t>
      </w:r>
      <w:r w:rsidRPr="00FA279A">
        <w:rPr>
          <w:rFonts w:ascii="GHEA Grapalat" w:eastAsia="Calibri" w:hAnsi="GHEA Grapalat"/>
          <w:sz w:val="16"/>
          <w:szCs w:val="18"/>
          <w:lang w:val="pt-BR"/>
        </w:rPr>
        <w:t>Եթե ընտրված մասնակցի հայտով ներկայ</w:t>
      </w:r>
      <w:r>
        <w:rPr>
          <w:rFonts w:ascii="GHEA Grapalat" w:eastAsia="Calibri" w:hAnsi="GHEA Grapalat"/>
          <w:sz w:val="16"/>
          <w:szCs w:val="18"/>
          <w:lang w:val="pt-BR"/>
        </w:rPr>
        <w:t>ա</w:t>
      </w:r>
      <w:r w:rsidRPr="00FA279A">
        <w:rPr>
          <w:rFonts w:ascii="GHEA Grapalat" w:eastAsia="Calibri" w:hAnsi="GHEA Grapalat"/>
          <w:sz w:val="16"/>
          <w:szCs w:val="18"/>
          <w:lang w:val="pt-BR"/>
        </w:rPr>
        <w:t>ց</w:t>
      </w:r>
      <w:r>
        <w:rPr>
          <w:rFonts w:ascii="GHEA Grapalat" w:eastAsia="Calibri" w:hAnsi="GHEA Grapalat"/>
          <w:sz w:val="16"/>
          <w:szCs w:val="18"/>
          <w:lang w:val="pt-BR"/>
        </w:rPr>
        <w:t>վ</w:t>
      </w:r>
      <w:r w:rsidRPr="00FA279A">
        <w:rPr>
          <w:rFonts w:ascii="GHEA Grapalat" w:eastAsia="Calibri" w:hAnsi="GHEA Grapalat"/>
          <w:sz w:val="16"/>
          <w:szCs w:val="18"/>
          <w:lang w:val="pt-BR"/>
        </w:rPr>
        <w:t>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3135A397" w14:textId="77777777" w:rsidR="003F4ECD" w:rsidRPr="00B06BEE" w:rsidRDefault="003F4ECD" w:rsidP="003F4ECD">
      <w:pPr>
        <w:spacing w:after="0" w:line="240" w:lineRule="auto"/>
        <w:ind w:left="-709" w:right="-599" w:firstLine="284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FA279A">
        <w:rPr>
          <w:rFonts w:ascii="GHEA Grapalat" w:eastAsia="Calibri" w:hAnsi="GHEA Grapalat"/>
          <w:sz w:val="16"/>
          <w:szCs w:val="18"/>
          <w:lang w:val="pt-BR"/>
        </w:rPr>
        <w:t>*</w:t>
      </w:r>
      <w:r>
        <w:rPr>
          <w:rFonts w:ascii="GHEA Grapalat" w:eastAsia="Calibri" w:hAnsi="GHEA Grapalat"/>
          <w:sz w:val="16"/>
          <w:szCs w:val="18"/>
          <w:lang w:val="pt-BR"/>
        </w:rPr>
        <w:t>*</w:t>
      </w:r>
      <w:r w:rsidRPr="00FA279A">
        <w:rPr>
          <w:rFonts w:ascii="GHEA Grapalat" w:eastAsia="Calibri" w:hAnsi="GHEA Grapalat"/>
          <w:sz w:val="16"/>
          <w:szCs w:val="18"/>
          <w:lang w:val="pt-BR"/>
        </w:rPr>
        <w:t>*</w:t>
      </w:r>
      <w:r w:rsidRPr="00FA279A">
        <w:rPr>
          <w:rFonts w:ascii="GHEA Grapalat" w:eastAsia="Calibri" w:hAnsi="GHEA Grapalat"/>
          <w:color w:val="FF0000"/>
          <w:sz w:val="16"/>
          <w:szCs w:val="18"/>
          <w:lang w:val="pt-BR"/>
        </w:rPr>
        <w:t xml:space="preserve">«Գնումների մասին» ՀՀ օրենքի 13-րդ հոդվածի 5-րդ կետի </w:t>
      </w:r>
      <w:r w:rsidRPr="00B06BEE">
        <w:rPr>
          <w:rFonts w:ascii="GHEA Grapalat" w:eastAsia="Calibri" w:hAnsi="GHEA Grapalat"/>
          <w:color w:val="FF0000"/>
          <w:sz w:val="16"/>
          <w:szCs w:val="18"/>
          <w:lang w:val="pt-BR"/>
        </w:rPr>
        <w:t>պահանջների համաձայն ցանկացած հղման դեպքում կիրառելի են «կամ համարժեք» բառերը:</w:t>
      </w:r>
    </w:p>
    <w:p w14:paraId="71D1A76D" w14:textId="77777777" w:rsidR="003F4ECD" w:rsidRPr="009D6133" w:rsidRDefault="003F4ECD" w:rsidP="003F4ECD">
      <w:pPr>
        <w:spacing w:after="0"/>
        <w:ind w:left="-284" w:right="-220"/>
        <w:jc w:val="both"/>
        <w:rPr>
          <w:rFonts w:ascii="GHEA Grapalat" w:eastAsia="Calibri" w:hAnsi="GHEA Grapalat"/>
          <w:sz w:val="20"/>
          <w:szCs w:val="20"/>
          <w:lang w:val="pt-BR"/>
        </w:rPr>
      </w:pPr>
    </w:p>
    <w:bookmarkEnd w:id="1"/>
    <w:p w14:paraId="0BD99E38" w14:textId="77777777" w:rsidR="00285E8D" w:rsidRDefault="00285E8D">
      <w:pPr>
        <w:rPr>
          <w:rFonts w:ascii="GHEA Grapalat" w:hAnsi="GHEA Grapalat"/>
          <w:b/>
          <w:bCs/>
          <w:sz w:val="24"/>
          <w:szCs w:val="24"/>
          <w:lang w:val="pt-BR"/>
        </w:rPr>
      </w:pPr>
      <w:r>
        <w:rPr>
          <w:rFonts w:ascii="GHEA Grapalat" w:hAnsi="GHEA Grapalat"/>
          <w:b/>
          <w:bCs/>
          <w:sz w:val="24"/>
          <w:szCs w:val="24"/>
          <w:lang w:val="pt-BR"/>
        </w:rPr>
        <w:br w:type="page"/>
      </w:r>
    </w:p>
    <w:p w14:paraId="1902F518" w14:textId="685D7884" w:rsidR="00285E8D" w:rsidRDefault="00285E8D" w:rsidP="003F4ECD">
      <w:pPr>
        <w:jc w:val="right"/>
        <w:rPr>
          <w:rFonts w:ascii="GHEA Grapalat" w:hAnsi="GHEA Grapalat"/>
          <w:b/>
          <w:bCs/>
          <w:sz w:val="24"/>
          <w:szCs w:val="24"/>
          <w:lang w:val="pt-BR"/>
        </w:rPr>
      </w:pPr>
      <w:r w:rsidRPr="00285E8D">
        <w:rPr>
          <w:rFonts w:ascii="GHEA Grapalat" w:hAnsi="GHEA Grapalat"/>
          <w:b/>
          <w:bCs/>
          <w:sz w:val="24"/>
          <w:szCs w:val="24"/>
          <w:lang w:val="pt-BR"/>
        </w:rPr>
        <w:lastRenderedPageBreak/>
        <w:t>ПРИЛОЖЕНИЕ</w:t>
      </w:r>
    </w:p>
    <w:p w14:paraId="4B98D361" w14:textId="77777777" w:rsidR="00285E8D" w:rsidRPr="00D80ED0" w:rsidRDefault="00285E8D" w:rsidP="00285E8D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ru-RU"/>
        </w:rPr>
      </w:pPr>
      <w:r w:rsidRPr="00EC5600">
        <w:rPr>
          <w:rFonts w:ascii="GHEA Grapalat" w:hAnsi="GHEA Grapalat"/>
          <w:b/>
          <w:sz w:val="24"/>
          <w:lang w:val="ru-RU"/>
        </w:rPr>
        <w:t xml:space="preserve">ТЕХНИЧЕСКИЕ ХАРАКТЕРИСТИКИ - ГРАФИК </w:t>
      </w:r>
      <w:r>
        <w:rPr>
          <w:rFonts w:ascii="GHEA Grapalat" w:hAnsi="GHEA Grapalat"/>
          <w:b/>
          <w:sz w:val="24"/>
          <w:lang w:val="ru-RU"/>
        </w:rPr>
        <w:t>ЗА</w:t>
      </w:r>
      <w:r w:rsidRPr="00EC5600">
        <w:rPr>
          <w:rFonts w:ascii="GHEA Grapalat" w:hAnsi="GHEA Grapalat"/>
          <w:b/>
          <w:sz w:val="24"/>
          <w:lang w:val="ru-RU"/>
        </w:rPr>
        <w:t>КУПКИ</w:t>
      </w:r>
      <w:r w:rsidRPr="00D80ED0">
        <w:rPr>
          <w:rFonts w:ascii="GHEA Grapalat" w:hAnsi="GHEA Grapalat"/>
          <w:b/>
          <w:sz w:val="24"/>
          <w:lang w:val="ru-RU"/>
        </w:rPr>
        <w:t>*</w:t>
      </w:r>
    </w:p>
    <w:p w14:paraId="40F21205" w14:textId="77777777" w:rsidR="00285E8D" w:rsidRPr="00EC5600" w:rsidRDefault="00285E8D" w:rsidP="00285E8D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sz w:val="24"/>
          <w:lang w:val="pt-BR"/>
        </w:rPr>
      </w:pPr>
      <w:r w:rsidRPr="00EC5600">
        <w:rPr>
          <w:rFonts w:ascii="GHEA Grapalat" w:hAnsi="GHEA Grapalat"/>
          <w:sz w:val="24"/>
          <w:lang w:val="pt-BR"/>
        </w:rPr>
        <w:t>РА драм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851"/>
        <w:gridCol w:w="1134"/>
        <w:gridCol w:w="3969"/>
        <w:gridCol w:w="708"/>
        <w:gridCol w:w="709"/>
        <w:gridCol w:w="709"/>
        <w:gridCol w:w="850"/>
        <w:gridCol w:w="993"/>
        <w:gridCol w:w="850"/>
        <w:gridCol w:w="2126"/>
      </w:tblGrid>
      <w:tr w:rsidR="00285E8D" w:rsidRPr="00975A33" w14:paraId="4EDC437C" w14:textId="77777777" w:rsidTr="001E6399">
        <w:trPr>
          <w:trHeight w:val="285"/>
          <w:jc w:val="center"/>
        </w:trPr>
        <w:tc>
          <w:tcPr>
            <w:tcW w:w="421" w:type="dxa"/>
            <w:vMerge w:val="restart"/>
            <w:vAlign w:val="center"/>
          </w:tcPr>
          <w:p w14:paraId="21AA253B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975A33">
              <w:rPr>
                <w:rFonts w:ascii="GHEA Grapalat" w:eastAsia="Times New Roman" w:hAnsi="GHEA Grapalat"/>
                <w:sz w:val="20"/>
                <w:szCs w:val="20"/>
              </w:rPr>
              <w:t>Н</w:t>
            </w:r>
            <w:r w:rsidRPr="00975A33">
              <w:rPr>
                <w:rFonts w:ascii="GHEA Grapalat" w:eastAsia="Times New Roman" w:hAnsi="GHEA Grapalat"/>
                <w:sz w:val="20"/>
                <w:szCs w:val="20"/>
                <w:lang w:val="af-ZA"/>
              </w:rPr>
              <w:t>/</w:t>
            </w:r>
            <w:r w:rsidRPr="00975A33">
              <w:rPr>
                <w:rFonts w:ascii="GHEA Grapalat" w:eastAsia="Times New Roman" w:hAnsi="GHEA Grapalat"/>
                <w:sz w:val="20"/>
                <w:szCs w:val="20"/>
              </w:rPr>
              <w:t>л</w:t>
            </w:r>
          </w:p>
        </w:tc>
        <w:tc>
          <w:tcPr>
            <w:tcW w:w="14316" w:type="dxa"/>
            <w:gridSpan w:val="11"/>
            <w:vAlign w:val="center"/>
          </w:tcPr>
          <w:p w14:paraId="176312FD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975A3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Товар</w:t>
            </w:r>
            <w:r w:rsidRPr="00975A33">
              <w:rPr>
                <w:rFonts w:ascii="GHEA Grapalat" w:eastAsia="Times New Roman" w:hAnsi="GHEA Grapalat"/>
                <w:sz w:val="20"/>
                <w:szCs w:val="20"/>
              </w:rPr>
              <w:t>а</w:t>
            </w:r>
          </w:p>
        </w:tc>
      </w:tr>
      <w:tr w:rsidR="00285E8D" w:rsidRPr="00975A33" w14:paraId="4BACB9E2" w14:textId="77777777" w:rsidTr="00285E8D">
        <w:trPr>
          <w:trHeight w:val="368"/>
          <w:jc w:val="center"/>
        </w:trPr>
        <w:tc>
          <w:tcPr>
            <w:tcW w:w="421" w:type="dxa"/>
            <w:vMerge/>
            <w:vAlign w:val="center"/>
          </w:tcPr>
          <w:p w14:paraId="7315C223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4C5AD9B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af-ZA"/>
              </w:rPr>
            </w:pPr>
            <w:r w:rsidRPr="00975A3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975A33">
              <w:rPr>
                <w:rFonts w:ascii="GHEA Grapalat" w:eastAsia="Times New Roman" w:hAnsi="GHEA Grapalat"/>
                <w:sz w:val="20"/>
                <w:szCs w:val="20"/>
              </w:rPr>
              <w:t>CPV</w:t>
            </w:r>
            <w:r w:rsidRPr="00975A3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14:paraId="4EA1D492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14:paraId="3164C6E6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производителя**</w:t>
            </w:r>
          </w:p>
        </w:tc>
        <w:tc>
          <w:tcPr>
            <w:tcW w:w="3969" w:type="dxa"/>
            <w:vMerge w:val="restart"/>
            <w:vAlign w:val="center"/>
          </w:tcPr>
          <w:p w14:paraId="022F2194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техническая характеристика***</w:t>
            </w:r>
          </w:p>
        </w:tc>
        <w:tc>
          <w:tcPr>
            <w:tcW w:w="708" w:type="dxa"/>
            <w:vMerge w:val="restart"/>
            <w:vAlign w:val="center"/>
          </w:tcPr>
          <w:p w14:paraId="6527CAD5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vMerge w:val="restart"/>
            <w:vAlign w:val="center"/>
          </w:tcPr>
          <w:p w14:paraId="429D43B1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цена единицы/драмов РА</w:t>
            </w:r>
          </w:p>
        </w:tc>
        <w:tc>
          <w:tcPr>
            <w:tcW w:w="709" w:type="dxa"/>
            <w:vMerge w:val="restart"/>
            <w:vAlign w:val="center"/>
          </w:tcPr>
          <w:p w14:paraId="263AC6E0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975A33">
              <w:rPr>
                <w:rFonts w:ascii="GHEA Grapalat" w:hAnsi="GHEA Grapalat"/>
                <w:sz w:val="20"/>
                <w:szCs w:val="20"/>
                <w:lang w:val="ru-RU"/>
              </w:rPr>
              <w:t>общий объем</w:t>
            </w:r>
          </w:p>
        </w:tc>
        <w:tc>
          <w:tcPr>
            <w:tcW w:w="850" w:type="dxa"/>
            <w:vMerge w:val="restart"/>
            <w:vAlign w:val="center"/>
          </w:tcPr>
          <w:p w14:paraId="37EC5698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975A33">
              <w:rPr>
                <w:rFonts w:ascii="GHEA Grapalat" w:hAnsi="GHEA Grapalat"/>
                <w:sz w:val="20"/>
                <w:szCs w:val="20"/>
                <w:lang w:val="ru-RU"/>
              </w:rPr>
              <w:t>общая цена/драмов РА</w:t>
            </w:r>
          </w:p>
        </w:tc>
        <w:tc>
          <w:tcPr>
            <w:tcW w:w="3969" w:type="dxa"/>
            <w:gridSpan w:val="3"/>
            <w:vAlign w:val="center"/>
          </w:tcPr>
          <w:p w14:paraId="00C2C92F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285E8D" w:rsidRPr="00975A33" w14:paraId="374D4BFA" w14:textId="77777777" w:rsidTr="00285E8D">
        <w:trPr>
          <w:trHeight w:val="85"/>
          <w:jc w:val="center"/>
        </w:trPr>
        <w:tc>
          <w:tcPr>
            <w:tcW w:w="421" w:type="dxa"/>
            <w:vMerge/>
            <w:vAlign w:val="center"/>
          </w:tcPr>
          <w:p w14:paraId="3C63FA94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90DF26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ACD9768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C36727B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14:paraId="7FD2C2B4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14:paraId="5384747E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B75DE6B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3E25DC7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E3469E4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6BCF3E6C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адрес поставки</w:t>
            </w:r>
          </w:p>
        </w:tc>
        <w:tc>
          <w:tcPr>
            <w:tcW w:w="850" w:type="dxa"/>
            <w:vAlign w:val="center"/>
          </w:tcPr>
          <w:p w14:paraId="089A92F9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  <w:lang w:val="ru-RU"/>
              </w:rPr>
              <w:t>подлежащее поставке количество товара</w:t>
            </w:r>
          </w:p>
        </w:tc>
        <w:tc>
          <w:tcPr>
            <w:tcW w:w="2126" w:type="dxa"/>
            <w:vAlign w:val="center"/>
          </w:tcPr>
          <w:p w14:paraId="2D0516ED" w14:textId="77777777" w:rsidR="00285E8D" w:rsidRPr="00975A33" w:rsidRDefault="00285E8D" w:rsidP="001E6399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/>
                <w:sz w:val="20"/>
                <w:szCs w:val="20"/>
              </w:rPr>
              <w:t>Срок*</w:t>
            </w:r>
          </w:p>
        </w:tc>
      </w:tr>
      <w:tr w:rsidR="00285E8D" w:rsidRPr="005C5FD7" w14:paraId="7F814B74" w14:textId="77777777" w:rsidTr="00285E8D">
        <w:trPr>
          <w:trHeight w:val="96"/>
          <w:jc w:val="center"/>
        </w:trPr>
        <w:tc>
          <w:tcPr>
            <w:tcW w:w="421" w:type="dxa"/>
            <w:shd w:val="clear" w:color="auto" w:fill="FFFFFF"/>
            <w:vAlign w:val="center"/>
          </w:tcPr>
          <w:p w14:paraId="2B689368" w14:textId="77777777" w:rsidR="00285E8D" w:rsidRPr="00975A33" w:rsidRDefault="00285E8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75A33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D199" w14:textId="77777777" w:rsidR="00285E8D" w:rsidRPr="005C5FD7" w:rsidRDefault="00285E8D" w:rsidP="001E639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C5FD7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35121341/516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CC1A" w14:textId="77777777" w:rsidR="00285E8D" w:rsidRPr="005C5FD7" w:rsidRDefault="00285E8D" w:rsidP="001E6399">
            <w:pPr>
              <w:spacing w:after="0" w:line="240" w:lineRule="auto"/>
              <w:ind w:right="-15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C5FD7">
              <w:rPr>
                <w:rFonts w:ascii="GHEA Grapalat" w:hAnsi="GHEA Grapalat"/>
                <w:sz w:val="20"/>
                <w:szCs w:val="20"/>
              </w:rPr>
              <w:t>Система цифровой ПЦР (dPCR)</w:t>
            </w:r>
          </w:p>
        </w:tc>
        <w:tc>
          <w:tcPr>
            <w:tcW w:w="1134" w:type="dxa"/>
            <w:vAlign w:val="center"/>
          </w:tcPr>
          <w:p w14:paraId="58A6BC0A" w14:textId="77777777" w:rsidR="00285E8D" w:rsidRPr="00975A33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F88A72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Минимальные технические спецификации </w:t>
            </w:r>
          </w:p>
          <w:p w14:paraId="088021C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Количество: 1</w:t>
            </w:r>
          </w:p>
          <w:p w14:paraId="369CE77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1) Базовые технические требования</w:t>
            </w:r>
          </w:p>
          <w:p w14:paraId="3C68E36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Технология /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Workflow</w:t>
            </w:r>
            <w:proofErr w:type="spellEnd"/>
          </w:p>
          <w:p w14:paraId="1EE9979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•Система должна использовать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микрофлюидную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технологию.</w:t>
            </w:r>
          </w:p>
          <w:p w14:paraId="0269C1F8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•Рабочий процесс должен быть простым и требовать только одного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hands-on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шага.</w:t>
            </w:r>
          </w:p>
          <w:p w14:paraId="2E430476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•Расходные материалы: многоразовые/перезагружаемые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микрофлюидные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пластины (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plate-based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); обязательны функции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Plate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loading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QC.</w:t>
            </w:r>
          </w:p>
          <w:p w14:paraId="5C0EF3A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•Все этапы (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digitization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F4079">
              <w:rPr>
                <w:rFonts w:ascii="Courier New" w:hAnsi="Courier New" w:cs="Courier New"/>
                <w:sz w:val="20"/>
                <w:szCs w:val="20"/>
                <w:lang w:val="ru-RU"/>
              </w:rPr>
              <w:t>→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thermal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cycling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F4079">
              <w:rPr>
                <w:rFonts w:ascii="Courier New" w:hAnsi="Courier New" w:cs="Courier New"/>
                <w:sz w:val="20"/>
                <w:szCs w:val="20"/>
                <w:lang w:val="ru-RU"/>
              </w:rPr>
              <w:t>→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data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acquisition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) должны выполняться в одном приборе (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single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equipment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workflow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). </w:t>
            </w:r>
          </w:p>
          <w:p w14:paraId="44A5C41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Оптика и мультиплексирование</w:t>
            </w:r>
          </w:p>
          <w:p w14:paraId="2660038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•Каналы детекции: не менее 5 флуоресцентных каналов (включая канал QC/референс).</w:t>
            </w:r>
          </w:p>
          <w:p w14:paraId="4C73A70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•Совместимые флуоресцентные красители: FAM, HEX, VIC, ABY, ROX, JUN, Cy5® или другие эквивалентные флуоресцентные красители с аналогичными спектральными характеристиками.  </w:t>
            </w:r>
          </w:p>
          <w:p w14:paraId="0BDBD412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•Мультиплексирование: одновременный анализ 2–4 мишеней; наличие ≥5 оптических каналов.</w:t>
            </w:r>
          </w:p>
          <w:p w14:paraId="0B637B2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oДля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Absolute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Q заявлена возможность мультиплексирования до 4 оптических каналов. </w:t>
            </w:r>
          </w:p>
          <w:p w14:paraId="02792F83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Программное обеспечение и анализ данных</w:t>
            </w:r>
          </w:p>
          <w:p w14:paraId="7E2076F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•Генерация данных и анализ должны выполняться встроенным/интегрированным ПО с возможностью сохранения протоколов и формирования отчета/экспорта результатов. </w:t>
            </w:r>
          </w:p>
          <w:p w14:paraId="3E812C1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2) Производительность и аналитические параметры</w:t>
            </w:r>
          </w:p>
          <w:p w14:paraId="7C86367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•Продолжительность одного запуска: не более 1.5 часа.</w:t>
            </w:r>
          </w:p>
          <w:p w14:paraId="43E45C9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•Динамический диапазон: не менее 5 порядков.</w:t>
            </w:r>
          </w:p>
          <w:p w14:paraId="2AC08298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•Чувствительность: не менее 1–100,000 копий.</w:t>
            </w:r>
          </w:p>
          <w:p w14:paraId="365EB91E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•Точность: максимум ±10%.</w:t>
            </w:r>
          </w:p>
          <w:p w14:paraId="6AF07AB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•Пропускная способность: до 16 образцов за запуск, кратно 4 (4/8/12/16) в одном запуске.</w:t>
            </w:r>
          </w:p>
          <w:p w14:paraId="26A03E2F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•Объем реакции: &lt; 10 µL.</w:t>
            </w:r>
          </w:p>
          <w:p w14:paraId="6C7E4F0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3) Микрокамеры и качество загрузки</w:t>
            </w:r>
          </w:p>
          <w:p w14:paraId="44AB14C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•Количество микрокамер: не менее 20,000 микрокамер на реакцию, обязательно наличие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loading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QC и автоматического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отбраковывания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ложноположительных результатов (если реализовано в системе).</w:t>
            </w:r>
          </w:p>
          <w:p w14:paraId="7249616C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•Доля анализируемого образца: не менее 90%.</w:t>
            </w:r>
          </w:p>
          <w:p w14:paraId="042B567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4) Габариты, масса, интерфейсы, условия</w:t>
            </w:r>
          </w:p>
          <w:p w14:paraId="0DA19C68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•Габариты: не более 63 × 61 × 55 см.</w:t>
            </w:r>
          </w:p>
          <w:p w14:paraId="0BF9EE98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•Масса: не более 62 кг.</w:t>
            </w:r>
          </w:p>
          <w:p w14:paraId="0E42E22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•Подключение: USB 3.0 для персонального компьютера </w:t>
            </w:r>
          </w:p>
          <w:p w14:paraId="36EB076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•Охлаждение/вентиляция: принудительная конвекция.</w:t>
            </w:r>
          </w:p>
          <w:p w14:paraId="7188B3D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•Освещение: красный/синий/зеленый высокомощный LED (или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экв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.).</w:t>
            </w:r>
          </w:p>
          <w:p w14:paraId="246837BE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•Питание: 100–240 VAC, 50–60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Hz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4D2F3895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•Уровень шума: не более 71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dB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279A8DB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5) Дополнительные требования (обязательные)</w:t>
            </w:r>
          </w:p>
          <w:p w14:paraId="6F3A5F71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•Прибор должен поставляться в комплекте с компьютером. • Прибор должен поставляться в комплекте с источником бесперебойного пинания с минимальными требованиями, как:      </w:t>
            </w:r>
          </w:p>
          <w:p w14:paraId="2D6C6F55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  Тип: 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ab/>
              <w:t>онлайн ИБП (VFI), двойное преобразование (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True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Double       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Conversion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)*, башенный (Tower)</w:t>
            </w:r>
          </w:p>
          <w:p w14:paraId="33F7DE54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Выходная форма сигнала:  чистая синусоида (Pure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Sinewave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7191D2C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Мощность</w:t>
            </w:r>
          </w:p>
          <w:p w14:paraId="298106F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oНоминал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: 3000 VA / 2700 W</w:t>
            </w:r>
          </w:p>
          <w:p w14:paraId="55F4ED5F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oВыходной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PF: 0.9</w:t>
            </w:r>
          </w:p>
          <w:p w14:paraId="304345D5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Входные параметры</w:t>
            </w:r>
          </w:p>
          <w:p w14:paraId="1FDABA92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Номинальное входное напряжение: *230 VAC*</w:t>
            </w:r>
          </w:p>
          <w:p w14:paraId="253443BD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Диапазон входного напряжения:</w:t>
            </w:r>
          </w:p>
          <w:p w14:paraId="6117753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o120–300 VAC (при нагрузке ~50%)</w:t>
            </w:r>
          </w:p>
          <w:p w14:paraId="5BF78FDF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o180–280 VAC (при нагрузке 100%)</w:t>
            </w:r>
          </w:p>
          <w:p w14:paraId="43574B42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Диапазон входной частоты: 40–70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Hz</w:t>
            </w:r>
            <w:proofErr w:type="spellEnd"/>
          </w:p>
          <w:p w14:paraId="06EEF66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Батареи и автономия</w:t>
            </w:r>
          </w:p>
          <w:p w14:paraId="186E7AB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oВстроенные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батареи: 6 × 12V, тип HR09122F</w:t>
            </w:r>
          </w:p>
          <w:p w14:paraId="6166C75F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oВремя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подзаряда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: ~4 часа до 90% ёмкости</w:t>
            </w:r>
          </w:p>
          <w:p w14:paraId="3EFB823F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oТок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заряда (макс.): 1.0 A</w:t>
            </w:r>
          </w:p>
          <w:p w14:paraId="51C07298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Розетки, защита, индикация</w:t>
            </w:r>
          </w:p>
          <w:p w14:paraId="5EF9048A" w14:textId="77777777" w:rsidR="00285E8D" w:rsidRPr="00EE5AF5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Выходные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розетки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: 4 × </w:t>
            </w:r>
            <w:r w:rsidRPr="00EF4079">
              <w:rPr>
                <w:rFonts w:ascii="GHEA Grapalat" w:hAnsi="GHEA Grapalat"/>
                <w:sz w:val="20"/>
                <w:szCs w:val="20"/>
              </w:rPr>
              <w:t>Schuko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EF4079">
              <w:rPr>
                <w:rFonts w:ascii="GHEA Grapalat" w:hAnsi="GHEA Grapalat"/>
                <w:sz w:val="20"/>
                <w:szCs w:val="20"/>
              </w:rPr>
              <w:t>Battery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F4079">
              <w:rPr>
                <w:rFonts w:ascii="GHEA Grapalat" w:hAnsi="GHEA Grapalat"/>
                <w:sz w:val="20"/>
                <w:szCs w:val="20"/>
              </w:rPr>
              <w:t>Backup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 &amp; </w:t>
            </w:r>
            <w:r w:rsidRPr="00EF4079">
              <w:rPr>
                <w:rFonts w:ascii="GHEA Grapalat" w:hAnsi="GHEA Grapalat"/>
                <w:sz w:val="20"/>
                <w:szCs w:val="20"/>
              </w:rPr>
              <w:t>Surge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F4079">
              <w:rPr>
                <w:rFonts w:ascii="GHEA Grapalat" w:hAnsi="GHEA Grapalat"/>
                <w:sz w:val="20"/>
                <w:szCs w:val="20"/>
              </w:rPr>
              <w:t>Protection</w:t>
            </w:r>
            <w:r w:rsidRPr="00EE5AF5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122FFB6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Защиты: перегрузка, перенапряжение, защита от глубокого разряда/перезаряда, </w:t>
            </w:r>
          </w:p>
          <w:p w14:paraId="55CB522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защита от входных импульсов, КЗ</w:t>
            </w:r>
          </w:p>
          <w:p w14:paraId="741BE940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Шум: &lt; 50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dB</w:t>
            </w:r>
            <w:proofErr w:type="spellEnd"/>
          </w:p>
          <w:p w14:paraId="6DD02DD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Габариты и масса</w:t>
            </w:r>
          </w:p>
          <w:p w14:paraId="667B790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ab/>
              <w:t>Габариты (Ш×Г×В):421 × 190 × 318 мм</w:t>
            </w:r>
          </w:p>
          <w:p w14:paraId="29DEFF5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oМасса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(нетто): 25-30 кг</w:t>
            </w:r>
          </w:p>
          <w:p w14:paraId="6AF6D232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oДлина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кабеля: ~2м                                                                                                        м       </w:t>
            </w:r>
          </w:p>
          <w:p w14:paraId="19EAB257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•Цена цифровой ПЦР системы должна включать доставку, установку и пуско-наладку на месте.</w:t>
            </w:r>
          </w:p>
          <w:p w14:paraId="5BC875EA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•У поставщика должны быть сервисные инженеры на месте, обученные производителем.</w:t>
            </w:r>
          </w:p>
          <w:p w14:paraId="346088B2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•Поставщик обязан предоставить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Authorization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letter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/ MAF </w:t>
            </w:r>
            <w:proofErr w:type="spellStart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letter</w:t>
            </w:r>
            <w:proofErr w:type="spellEnd"/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 xml:space="preserve"> от </w:t>
            </w: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производителя (или официального представителя) на поставку и сервис.</w:t>
            </w:r>
          </w:p>
          <w:p w14:paraId="7668E3B6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6) Сертификаты и гарантия</w:t>
            </w:r>
          </w:p>
          <w:p w14:paraId="30F4AF29" w14:textId="77777777" w:rsidR="00285E8D" w:rsidRPr="00EF4079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•Сертификаты/соответствие: CE, ISO 9001, ISO 13485, (предоставить копии/декларации).</w:t>
            </w:r>
          </w:p>
          <w:p w14:paraId="35F07D0E" w14:textId="77777777" w:rsidR="00285E8D" w:rsidRPr="00975A33" w:rsidRDefault="00285E8D" w:rsidP="001E639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F4079">
              <w:rPr>
                <w:rFonts w:ascii="GHEA Grapalat" w:hAnsi="GHEA Grapalat"/>
                <w:sz w:val="20"/>
                <w:szCs w:val="20"/>
                <w:lang w:val="ru-RU"/>
              </w:rPr>
              <w:t>•Гарантия: минимум 24 месяца после установки (ввода в эксплуатацию).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FA4EA9" w14:textId="77777777" w:rsidR="00285E8D" w:rsidRPr="00975A33" w:rsidRDefault="00285E8D" w:rsidP="001E639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75A33">
              <w:rPr>
                <w:rFonts w:ascii="GHEA Grapalat" w:hAnsi="GHEA Grapalat" w:cs="Calibri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4EA89BA9" w14:textId="2BE33E61" w:rsidR="00285E8D" w:rsidRPr="00975A33" w:rsidRDefault="00285E8D" w:rsidP="001E639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687C4F" w14:textId="77777777" w:rsidR="00285E8D" w:rsidRPr="00975A33" w:rsidRDefault="00285E8D" w:rsidP="001E639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75A33">
              <w:rPr>
                <w:rFonts w:ascii="GHEA Grapalat" w:hAnsi="GHEA Grapalat" w:cs="Calibri"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0475BB58" w14:textId="47DCEC99" w:rsidR="00285E8D" w:rsidRPr="00975A33" w:rsidRDefault="00285E8D" w:rsidP="001E639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3A0CDE0" w14:textId="77777777" w:rsidR="00285E8D" w:rsidRPr="00975A33" w:rsidRDefault="00285E8D" w:rsidP="001E6399">
            <w:pPr>
              <w:spacing w:after="0"/>
              <w:jc w:val="center"/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</w:pPr>
            <w:r w:rsidRPr="002575CF">
              <w:rPr>
                <w:rFonts w:ascii="GHEA Grapalat" w:hAnsi="GHEA Grapalat" w:cs="Calibri"/>
                <w:bCs/>
                <w:color w:val="FF0000"/>
                <w:sz w:val="20"/>
                <w:szCs w:val="20"/>
                <w:lang w:val="ru-RU"/>
              </w:rPr>
              <w:t>П. Севак 7, 0014, Ереван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6D8FA" w14:textId="77777777" w:rsidR="00285E8D" w:rsidRPr="00975A33" w:rsidRDefault="00285E8D" w:rsidP="001E6399">
            <w:pPr>
              <w:spacing w:after="0"/>
              <w:contextualSpacing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75A33">
              <w:rPr>
                <w:rFonts w:ascii="GHEA Grapalat" w:hAnsi="GHEA Grapalat" w:cs="Calibri"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0BEB70E" w14:textId="77777777" w:rsidR="00285E8D" w:rsidRPr="00975A33" w:rsidRDefault="00285E8D" w:rsidP="001E6399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975A3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Договор будет заключён в соответствии с требованиями, установленными подпунктом 2 части 6 статьи 15 Закона Республики Армения «О закупках», при этом исчисление срока в соответствующей графе будет осуществляться после вступления в силу соглашения, заключаемого между сторонами в случае </w:t>
            </w:r>
            <w:proofErr w:type="spellStart"/>
            <w:r w:rsidRPr="00975A33">
              <w:rPr>
                <w:rFonts w:ascii="GHEA Grapalat" w:hAnsi="GHEA Grapalat" w:cs="Calibri"/>
                <w:sz w:val="20"/>
                <w:szCs w:val="20"/>
                <w:lang w:val="ru-RU"/>
              </w:rPr>
              <w:t>предусмотрения</w:t>
            </w:r>
            <w:proofErr w:type="spellEnd"/>
            <w:r w:rsidRPr="00975A3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финансовых </w:t>
            </w:r>
            <w:r w:rsidRPr="00975A33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 xml:space="preserve">средств, с установлением срока поставки в течение </w:t>
            </w:r>
            <w:r w:rsidRPr="00975A33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в течение </w:t>
            </w:r>
            <w:r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2 </w:t>
            </w:r>
            <w:r w:rsidRPr="00975A33">
              <w:rPr>
                <w:rFonts w:ascii="GHEA Grapalat" w:hAnsi="GHEA Grapalat" w:cs="Calibri"/>
                <w:color w:val="FF0000"/>
                <w:sz w:val="20"/>
                <w:szCs w:val="20"/>
                <w:lang w:val="ru-RU"/>
              </w:rPr>
              <w:t xml:space="preserve">месяцев, </w:t>
            </w:r>
            <w:r w:rsidRPr="00975A33">
              <w:rPr>
                <w:rFonts w:ascii="GHEA Grapalat" w:hAnsi="GHEA Grapalat" w:cs="Calibri"/>
                <w:sz w:val="20"/>
                <w:szCs w:val="20"/>
                <w:lang w:val="ru-RU"/>
              </w:rPr>
              <w:t>за исключением случаев, когда поставщик согласен осуществить поставку в более ранние сроки.</w:t>
            </w:r>
          </w:p>
        </w:tc>
      </w:tr>
    </w:tbl>
    <w:p w14:paraId="1E38AA43" w14:textId="77777777" w:rsidR="00285E8D" w:rsidRPr="000961D0" w:rsidRDefault="00285E8D" w:rsidP="00285E8D">
      <w:pPr>
        <w:spacing w:after="0" w:line="240" w:lineRule="auto"/>
        <w:ind w:left="-360" w:right="-360" w:firstLine="398"/>
        <w:jc w:val="both"/>
        <w:rPr>
          <w:rFonts w:ascii="GHEA Grapalat" w:eastAsia="Calibri" w:hAnsi="GHEA Grapalat"/>
          <w:color w:val="FF0000"/>
          <w:sz w:val="16"/>
          <w:szCs w:val="18"/>
          <w:lang w:val="pt-BR"/>
        </w:rPr>
      </w:pPr>
      <w:r w:rsidRPr="00AF0014">
        <w:rPr>
          <w:rFonts w:ascii="GHEA Grapalat" w:eastAsia="Calibri" w:hAnsi="GHEA Grapalat"/>
          <w:color w:val="FF0000"/>
          <w:sz w:val="16"/>
          <w:szCs w:val="18"/>
          <w:lang w:val="pt-BR"/>
        </w:rPr>
        <w:lastRenderedPageBreak/>
        <w:t>* Данная процедура закупки осуществляется в соответствии с требованиями, установленными и подпунктом 2) частья 6 статьи 15 Закона РА “О закупках”, осуществляя расчет со дня вступления в силу соглашение между сторонами в случае финансовых ресурсов.</w:t>
      </w:r>
    </w:p>
    <w:p w14:paraId="7EE88F66" w14:textId="77777777" w:rsidR="00285E8D" w:rsidRPr="00AF0014" w:rsidRDefault="00285E8D" w:rsidP="00285E8D">
      <w:pPr>
        <w:spacing w:after="0" w:line="240" w:lineRule="auto"/>
        <w:ind w:left="-360" w:right="-900" w:firstLine="39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AF0014">
        <w:rPr>
          <w:rFonts w:ascii="GHEA Grapalat" w:eastAsia="Calibri" w:hAnsi="GHEA Grapalat"/>
          <w:sz w:val="16"/>
          <w:szCs w:val="18"/>
          <w:lang w:val="pt-BR"/>
        </w:rPr>
        <w:t>** 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3AD22BB3" w14:textId="77777777" w:rsidR="00285E8D" w:rsidRPr="00AF0014" w:rsidRDefault="00285E8D" w:rsidP="00285E8D">
      <w:pPr>
        <w:spacing w:after="0" w:line="240" w:lineRule="auto"/>
        <w:ind w:left="-360" w:right="-360" w:firstLine="39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AF0014">
        <w:rPr>
          <w:rFonts w:ascii="GHEA Grapalat" w:eastAsia="Calibri" w:hAnsi="GHEA Grapalat"/>
          <w:sz w:val="16"/>
          <w:szCs w:val="18"/>
          <w:lang w:val="pt-BR"/>
        </w:rPr>
        <w:t xml:space="preserve">*** </w:t>
      </w:r>
      <w:r w:rsidRPr="00AF0014">
        <w:rPr>
          <w:rFonts w:ascii="GHEA Grapalat" w:eastAsia="Calibri" w:hAnsi="GHEA Grapalat"/>
          <w:color w:val="FF0000"/>
          <w:sz w:val="16"/>
          <w:szCs w:val="18"/>
          <w:lang w:val="pt-BR"/>
        </w:rPr>
        <w:t>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64E54BC6" w14:textId="77777777" w:rsidR="00285E8D" w:rsidRDefault="00285E8D" w:rsidP="003F4ECD">
      <w:pPr>
        <w:jc w:val="right"/>
        <w:rPr>
          <w:rFonts w:ascii="GHEA Grapalat" w:hAnsi="GHEA Grapalat"/>
          <w:b/>
          <w:bCs/>
          <w:sz w:val="24"/>
          <w:szCs w:val="24"/>
          <w:lang w:val="pt-BR"/>
        </w:rPr>
      </w:pPr>
    </w:p>
    <w:p w14:paraId="55702FD3" w14:textId="665F011F" w:rsidR="00285E8D" w:rsidRDefault="00285E8D">
      <w:pPr>
        <w:rPr>
          <w:rFonts w:ascii="GHEA Grapalat" w:hAnsi="GHEA Grapalat"/>
          <w:b/>
          <w:bCs/>
          <w:sz w:val="24"/>
          <w:szCs w:val="24"/>
          <w:lang w:val="pt-BR"/>
        </w:rPr>
      </w:pPr>
    </w:p>
    <w:sectPr w:rsidR="00285E8D" w:rsidSect="00285E8D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A96"/>
    <w:rsid w:val="00285E8D"/>
    <w:rsid w:val="003F4ECD"/>
    <w:rsid w:val="009C6E96"/>
    <w:rsid w:val="00B5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CBC61"/>
  <w15:chartTrackingRefBased/>
  <w15:docId w15:val="{06C93826-2A63-47D3-A023-6ACA0153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1587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5</cp:revision>
  <dcterms:created xsi:type="dcterms:W3CDTF">2026-04-07T07:18:00Z</dcterms:created>
  <dcterms:modified xsi:type="dcterms:W3CDTF">2026-04-07T07:22:00Z</dcterms:modified>
</cp:coreProperties>
</file>