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ԵՄ-ԷԱՃԱՊՁԲ-26/34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վառելիքի ձեռքբերման նպատակով ԵՄ-ԷԱՃԱՊՁԲ-26/34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ԵՄ-ԷԱՃԱՊՁԲ-26/34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վառելիքի ձեռքբերման նպատակով ԵՄ-ԷԱՃԱՊՁԲ-26/34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վառելիքի ձեռքբերման նպատակով ԵՄ-ԷԱՃԱՊՁԲ-26/34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ԵՄ-ԷԱՃԱՊՁԲ-26/34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վառելիքի ձեռքբերման նպատակով ԵՄ-ԷԱՃԱՊՁԲ-26/34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376.47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2026.04.21.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ԵՄ-ԷԱՃԱՊՁԲ-26/34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ԵՄ-ԷԱՃԱՊՁԲ-26/34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«ԵՄ-ԷԱՃԱՊՁԲ-26/34»*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ԵՄ-ԷԱՃԱՊՁԲ-26/34*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«ԵՄ-ԷԱՃԱՊՁԲ-26/34»*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ԵՄ-ԷԱՃԱՊՁԲ-26/34*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Ցետանային թիվը 51-ից ոչ պակաս: Ցետանային ցուցիչը 46-ից ոչ պակաս:
Խտությունը 150C ջերմաստիճանում 820-845 կգ/մ3:
Պոլիցիկլիկ արոմատիկ ածխաջրածինների զանգվածային մասը՝ 11%-ից ոչ ավելի: Ծծմբի պարունակությունը 10 մգ/կգ-ից ոչ ավելի: Բռնկման ջերմաստիճանը՝ 55 0C-ից ոչ ցածր:
Ածխածնի մնացորդը /կոքսելիությունը/ 10 % նստվածքում 0,3 %-ից ոչ ավելի: Մածուցիկությունը 400C-ում` 2,0-ից մինչև 4,5 մմ2/վ: Պղտորման ջերմաստիճանը` 5 0C-ից ոչ բարձր:
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Մատակարարումը՝ կտրոնային եղանակաով, որոնք պետք է սպասարկվեն Երևանի բոլոր վարչական շրջաններում: Պարտադիր պայման է, որ լիցքավորման կետերից մեկը գտնվի Շիրակի և Արարատյան փողոցների հատման խաչմերուկից առավելագույնը 2000 մետր հեռավորության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 Օկտանային թիվը որոշված՝ հետազոտական մեթոդով` ոչ պակաս 91:
Շարժիչային մեթոդով` ոչ պակաս 81:
Կապարի պարունակությունը 5 մգ/դմ3-ից ոչ ավելի:
Խտությունը` 15 0C ջերմաստիճանում` 720-775 կգ/մ3:
Ծծմբի պարունակությունը` 10 մգ/կգ-ից ոչ ավելի:
Ածխաջրածինների ծավալային մասը, ոչ ավելի՝ արոմատիկ - 21%, օլեֆիններ - 21%, բենզոլի ծավալային մասը 1 %-ից ոչ ավելի:
Թթվածնի զանգվածային մասը` 2,7 %-ից ոչ ավելի:
Օքսիդիչների ծավալային մասը, ոչ ավելի` մեթանոլ - 3 %, էթանոլ- 5 %, իզոպրոպիլ սպիրտ- 10 %, իզոբութիլ սպիրտ-10 %, եռաբութիլ սպիրտ-7 %, եթերներ (C5 և ավելի) - 15 %, այլ օքսիդիչներ - 10 %:
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Մատակարարումը՝ կտրոնային եղանակաով, որոնք պետք է սպասարկվեն Երևանի բոլոր վարչական շրջաններում: Պարտադիր պայման է, որ լիցքավորման կետերից մեկը գտնվի Շիրակի և Արարատյան փողոցների հատման խաչմերուկից առավելագույնը 2000 մետր հեռավորության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 Օկտանային թիվը որոշված՝ հետազոտական մեթոդով` ոչ պակաս 95: 
Շարժիչային մեթոդով` ոչ պակաս 85:  
Կապարի պարունակությունը՝ 5 մգ/դմ3-ից ոչ ավելի:  
Խտությունը` 15 0C ջերմաստիճանում` 720-775 կգ/մ3: 
Ծծմբի պարունակությունը` 10 մգ/կգ-ից ոչ ավելի: 
Ածխաջրածինների ծավալային մասը, ոչ ավելի՝ արո¬մատիկ – 35 %, օլեֆիններ - 18 %, բենզոլի ծավալային մասը 1 %-ից ոչ ավելի: 
Թթվածնի զանգվածային մասը` 2,7 %-ից ոչ ավելի, օքսիդիչների ծավալային մասը, ոչ ավելի` մեթանոլ - 3 %, էթանոլ - 5 %, իզոպրոպիլ սպիրտ – 10 %, իզոբութիլ սպիրտ - 10 %, եռաբութիլ սպիրտ - 7 %, եթերներ (C5 և ավելի) - 15 %, այլ օքսիդիչներ - 10 %: 
Մատակարարումը կտրոնային (10լ և 20լ կտրոններով): Կտրոնների վավերականության ժամկետը առնվազն մինչև 31.12.2027թ:
Բենզալցակայանների առկայություն ՀՀ բոլոր քաղաքներում: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 (համաձայնագիրն) ուժի մեջ մտնելուց հետո և մատակարարումն իրականացվելու է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