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ԵՄ-ԷԱՃԱՊՁԲ-26/34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ԵՄ-ԷԱՃԱՊՁԲ-26/34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ԵՄ-ԷԱՃԱՊՁԲ-26/34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ԵՄ-ԷԱՃԱՊՁԲ-26/34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 остатке — не более 0,3%. Вязкость при 40°C — от 2,0 до 4,5 мм²/с. Температура помутнения — не выше 5°C.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Поставка должна осуществляться по талонам, которые обслуживаются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Октановое число, определенное исследовательским методом, — не менее 91, моторным методом — не менее 81.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21%, олефины — 21%,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Талоны должны обслуживаться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Октановое число, определенное исследовательским методом, — не менее 95, моторным методом — не менее 85.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(талонами по 10 л и 20 л). Срок действия талонов — не менее до 31.12.2027 г.
Наличие автозаправочных станций во всех городах Республики Армения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