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АBH-EAAPDzB-26/58</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без покрытия, класс A, A+, используется для лазерной и струйной печати, односторонней и двусторонней печати, копирования и других офисных работ. Формат: А4 (210x297 мм). Соответствует стандартам менеджмента ISO 9001 и 14001. Плотность по стандарту ISO 536: 80 г/м2, по стандарту ISO 2493-1: твердость MD: не менее 100, твердость CD: не менее 50, белизна по стандарту ISO 11475: не менее 169 CIE, яркость по стандарту ISO 2470: не менее 108%, толщина по стандарту ISO 534: не менее 108 мкм, непрозрачность по стандарту ISO 2471: не менее 94%, шероховатость по стандарту ISO 8791/2 - шероховатость поверхности TS мл/мин: 60-125, шероховатость поверхности BS мл/мин: 90-150, влажность: 3,0-4,0 %. Количество листов в одной коробке в заводской упаковке: 500 листов без отклонений, вес 1 коробки: 2,5 кг (+-0,005 кг). Каждые 5 коробок по 500 листов упакованы в картонную коробку. Бренды: "PAPERLINE", "Pioneer", "DoubleA". Заказчик может запросить сертификат качества продукции, а также соответствие вышеуказанным техническим характеристикам. Образец должен быть согласован с поставщиком. Продавец осуществляет доставку и разгрузку товара на склад. Склад расположен на 2-м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