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 և համակարգչային 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 և համակարգչային 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 և համակարգչային 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 և համակարգչային 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մարմնային կուտակիչ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Պրոցեսորը` Intel Core i5 առնվազն 14-րդ սերնդի, ներկառուցված գրաֆիկական քարտով, համապատասխան պրոցեսորի հովացուցիչ, 4pin։ Մայրական սալիկը` LGA1700,  չիպսետը առնվազն B760։ Մայրական սալիկի ետևի մասում հետևայլ պորտերի առկայություն` 1 հատ Gigabit Ethernet port, 1 հատ HDMI, 2 հատ USB2.0 ports: Օպերատիվ հիշողությունը`DDR4, առնվազն 16GB(1x16GB), 3200Mhz կամ DDR5: Պինդ մարմնային կուտակիչ SSD 3D Nand 500GB (1x500GB) M.2(2280) PCIe 4.0 NVMe, կարդալու արագությունը 4700MB/s (4K/310000 IOPS), գրելու արագությունը 5000MB/s (4K/410000 IOPS), TRIM support։ ։ Սնուցման բլոկը` առնվազն 600W Real APFC, 80plus: Wi-Fi PCI Express ադապտեր՝ առնվազն երկու երկդիապազոն ալեհավաքով, IEEE 802.11ac/n/a 5 ԳՀց և IEEE 802.11b/g/n 2,4 ԳՀց ստանդարտների ապահովմամբ, 5ԳՀց-ի դեպքում արագությունը առնվազն 867Մբ/վ, 2․4 ԳՀց-ի դեպում՝ առնվազն 300Մբ/վ, Wi-Fi միացման անվտանգությունը առնվազն՝ Support 64/128 bit WEP, WPA/WAP2, WPA-PSK/WPA2-PSK, 802.1x։ Համակարգչի իրանը` Case Midi Tower, դիմացի հատվածում առնվազն 1 հատ USB2.0 և 1 հատ USB3.0 պորտեր, կամ համարժեք: Հոսանքի լարը CEE7 ստանդարտի: Combo USB Keyboard + Mouse (նույն արտադրողի) լարի երկարությունը առնվազն 1.5մ (Logitech կամ համարժեք): Երաշխիքը առնվազն 1 տարի։ Պարտադիր պայման՝ ապրանքը պետք է լինի չօգտագործված: Ապրանքի տեղափոխումը,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մարմնային կուտակիչ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500Gb, V-NAND 3bit տիպի MLC հիշողությամբ, կարդալու և գրելու արագությունները համապատասխանաբար առնվազն 560 MB/s (98 000 IOPS) և 530 MB/s (88 000 IOPS), քեշ հիշողությունը առնվազն 512 МБ Low Power DDR4 SDRAM տիպի և TRIM տեխնոլոգիայի ապահովմամբ, ֆորմ ֆակտորը՝ 2.5 դյույմ։  Երաշխիքը առնվազն 1 տարի։ Պարտադիր պայման՝ ապրանքը պետք է լինի չօգտագործված: Ապրանքի տեղափոխումը,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DLP կամ 3LCD, Aspect Ratio.16:10 native, 4:3, 16:9 support, WXGA (1280x800) native, 3800 Lumen, up to 1.07 billion colours, Contrast Ratio»=22000:1, Lamp Life: Min. 6000h (Bright), 10000h (Economy), HDMI in,  VGA in, audio in and out, USB 2.0, VGA out, Power cord included, remote control and batteries included, Integrated speaker, 220V-240V/ 50-60Hz: Հոսանքի լարը CEE7 ստանդարտի:  Երաշխիքը առնվազն 1 տարի։ Պարտադիր պայման՝ ապրանքը պետք է լինի չօգտագործված: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"Grandstream GRP2601P կամ համարժեքը Արձանագրություններ/ ստանդարտները` SIP RFC3261, TCP/IP/UDP, RTP/RTCP, RTCP-XR, HTTP/HTTPS, ARP, ICMP, DNS(A record, SRV, NAPTR), DHCP, PPPoE, SSH, TFTP, NTP, STUN, SIMPLE, LLDP, LDAP, TR069, SNMP, 802.1x, TLS, SRTP*, IPv6 Ցանցային ինտերֆեյսը` Առնվազն 2 պորտ 10/100 Ethernet-ից ոչ պակաս Սնուցումը` Արտաքին սնուցման բլոկ 5v, 2A (220 Վ; 50 Հց), օժանդակումը PoE Կոդեկները, ոչ պակաս` G.711µ/a, G.722 (լայնաշերտ), , G.726-32, G.729 A/B, iLBC, DTMF (In audio, RFC2833, SIP INFO), VAD, CNG, AEC, PLC, AJB, AGC Էկրանը` Գրաֆիկական LCD-էկրան 132 և 48 պիքսելներ (2,41 ') Ֆունկցիոնալ կոճակները` 2 կոճակ հեռախոսագծերի համար երկգույն լուսադիոդներով, 4 XML ծրագրավորվող կոնտեքստային զգայուն էկրանի կոճակներ, 5 ուղղորդող կոճակ/մենյու, 8 հատուկ կոճակներ հետևյալ ֆունկցիաներով MUTE, HEADSET, TRANSFER, SEND և REDIAL, SPEAKERPHONE, VOLUME+, VOLUME-, MESSAGE (with LED indicator) Համատեղումը` Նույն արտադրողի SIP- սերվերից կենտրոնացված կառավարման հնարավորություն Տեխբիկական աջակցություն` Հասանելիություն ՕՀ թարմացումներին արտադրողի պաշտոնական կայքից, արտադրողի on-line աջակցություն Անձնական էջեր` 2 SIP համարների գրանցում Լրացուցիչ գործառույթներ` Սպասազանգ, զանգի փոխանցում, զանգի վերահասցեավորում (բոլոր/բաց թոցնված/զբաղված լինելու դեպքում), հեռախոսագիրք (XML, LDAP, մինչև 2000 գրանցամատյան), զանգի սպասում, կատարված զանգերի մատյան (մինչև 800 ձայնագրությամբ), ավտոմատ հավաքում, ինքնապատասխանիչ, click-to-dial, երաժշտություն սպասման մեջ, պահուստաին սերվեր - Սերվիզ կենտրոնի առկայություն ՀՀ-ում պարտադիր: - Երաշխքային սպասարկում ապրանքը մատակարարելուց հետո առնվազն երկու տարի: Պարտադիր պայման՝ ապրանքը պետք է լինի չօգտագործված, ապրանքի վաղեմության ժամկետի առկայության դեպքում պետք է լինի ընդունման օրվանից առնվազն 12 ամիս: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մարմնային կուտակիչ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