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горизонтальные жалюзи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Շաբոյան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satenik.shaboyan@escs.am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ՀՀԿԳՄՍՆԷԱՃԱՊՁԲ-26/73</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горизонтальные жалюзи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горизонтальные жалюзи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satenik.shaboyan@escs.am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горизонтальные жалюзи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рассчитанные на 134 окно, 32 из которых имеют площадь от 0,35 м² до 0,65 м².
Ламель должна быть изготовлена из алюминиевых листов толщиной 25 мм. Листы должны быть соединены между собой в горизонтальном положении тросом-лестницей. Подъем и опускание листов должно осуществляться тросом управления, а поворот вокруг своей оси на 180° – прозрачным пластиковым стержнем.
Алюминиевые листы должны быть окрашены высококачественной порошковой краской, не выцветающей на солнце и не подверженной коррозии под воздействием влаги.
Карниз должен быть прочным, стальным, размером 20x25 мм, также с порошковым покрытием.
В нижней части жалюзи должен быть установлен стальной нижний карниз (ламель) толщиной 25 мм с порошковым покрытием, обеспечивающий эластичность жалюзи.
Продукция должна быть новой, неиспользованной.
Транспортировка и установка продукции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Ереван,В. Саргсяна 3, Правительство 2-й дом, Министерство образования и культуры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65-й календарный день после даты вступления договора в силу,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