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գրադարանի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գրադարանի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գրադարանի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գրադարանի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գրադարան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մակերեսը՝ առնվազն 120 ք/մ, ռեժիմները՝ հովացում և ջեռուցում, ջեռուցման հզորությունը՝ առնվազն 2500 վտ, սառեցման հզորությունը՝ առնվազն 3000 վտ:
Գազի տեսակ՝ R410:
Գույնը՝ սպիտակ:
Էներգախնայողության դաս՝ առնվազն A, հզորությունը՝ առնվազն 36000 BTU, աշխատանքային ջերմաստիճան՝ առնվազն +43°C/-5°C։ 
Ապրանքը պետք է լինի նոր, չօգտագործված, չպարունակի օգտագործած կամ կիսամաշ դետալներ։ 
Երաշխիքը՝ առնվազն 3 տարի։
Կատարողը պարտավոր է կազմակերպել ձեռքբերված 1 նոր օդորակչի տեղադրման աշխատանքները։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մակերեսը՝ առնվազն 80 ք/մ, ռեժիմները՝ հովացում և ջեռուցում, ջեռուցման հզորությունը՝ առնվազն 2000 վտ, սառեցման հզորությունը՝ առնվազն 2400 վտ:
Գազի տեսակ՝ R410:
Գույնը՝ սպիտակ:
Հզորությունը՝ առնվազն 24000 BTU, աշխատանքային ջերմաստիճան՝ առնվազն +43°C/-7°C։ 
Ապրանքը պետք է լինի նոր, չօգտագործված, չպարունակի օգտագործած կամ կիսամաշ դետալներ։ 
Երաշխիքը՝ առնվազն 3 տարի։
Կատարողը պարտավոր է կազմակերպել ձեռքբերված 2 նոր օդորակիչների տեղադրման աշխատանքները։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թափանցիկ: 
Երկարությունը՝ 900 - 1100 մմ:
Պատին ամրացվող, սպլիտ համակարգի օդորակիչների համար:
Կատարողը պարտավոր է կազմակերպել ձեռքբերված 3 ունիվերսալ էկրանների տեղադրման աշխատանքները։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Սարգիս և Մարի Իզմիրլյանների անվ.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Սարգիս և Մարի Իզմիրլյանների անվ.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Սարգիս և Մարի Իզմիրլյանների անվ.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