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անվադողերի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անվադողերի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անվադողերի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անվադողերի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Անվադողերի ձեռք բերում- Մարդատար ավտոմեքնենաների համար։ Նախատեսված ամառային օգտագործմոն համար։       Չափսերը և կառուցվածքը՝ 215*/55*R17*:                          
Կրողունակության ինդեքսը՝91**:                                                                                Արագության կատեգորիան՝ H*։           
Նախատեսված առանց օդախցիկի օգտագործման համար։
Արտադրության տարեթիվը՝ նվազագույնը մատակարարման տարեթվին նաախորդող տարեթիվ։   
** Պայմանական ցուցանիշները սահմանված են ՀՀ կառավարության 11.11.2004թ․N 1558-Ն որոշմամբ հաստատված ««Օդաճնշական դողերի տեխնիկական կանոնակարգի»»։                       
Տեղադրումը և անվահեծերի կարգաբերումը՝ մատակարարի միջոցով։ Բոլոր ապրանքները պետք է լինեն չօգտագործված, անաղմուկ (աղմուկը չգերազանցի 72 դեցիբելը), պրոտեկտորները լինեն եղևնաձև կամ ասիմետրիկ տեսակի։Մատակարարումն իրականացվի  մատակարարի միջոցների հաշվին։
 .Ապրանքները պետք է լինեն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