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ՀԾԿՀ-26/11-ԷԱՃԱՊՁԲ</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հանրային ծառայությունները կարգավորող հանձնաժողով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Мясникяна 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Обьявление о закупках на получение компьютерных и копированных оборудований и подсобных материалов с кодом ՀԾԿՀ-26/11-ԷԱՃԱՊՁԲ для нужд Комиссии по регулированию общественных услуг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Սիլվա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sharutyunyan@psrc.am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015580808-120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հանրային ծառայությունները կարգավորող հանձնաժողով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ՀԾԿՀ-26/11-ԷԱՃԱՊՁԲ</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հանրային ծառայությունները կարգավորող հանձնաժողով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հանրային ծառայությունները կարգավորող հանձնաժողով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Обьявление о закупках на получение компьютерных и копированных оборудований и подсобных материалов с кодом ՀԾԿՀ-26/11-ԷԱՃԱՊՁԲ для нужд Комиссии по регулированию общественных услуг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Обьявление о закупках на получение компьютерных и копированных оборудований и подсобных материалов с кодом ՀԾԿՀ-26/11-ԷԱՃԱՊՁԲ для нужд Комиссии по регулированию общественных услуг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հանրային ծառայությունները կարգավորող հանձնաժողով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ՀԾԿՀ-26/11-ԷԱՃԱՊՁԲ</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sharutyunyan@psrc.am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Обьявление о закупках на получение компьютерных и копированных оборудований и подсобных материалов с кодом ՀԾԿՀ-26/11-ԷԱՃԱՊՁԲ для нужд Комиссии по регулированию общественных услуг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"ՀԾԿՀ-26/11-ԷԱՃԱՊՁԲ"</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ՀԾԿՀ-26/11-ԷԱՃԱՊՁԲ*.</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"ՀԾԿՀ-26/11-ԷԱՃԱՊՁԲ"</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ՀԾԿՀ-26/11-ԷԱՃԱՊՁԲ*.</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ՀԾԿՀ-26/11-ԷԱՃԱՊՁԲ</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процессора компьютера: Intel Core i7 не ниже 14-го поколения или Intel Core i9 не ниже 13-го поколения или эквивалент, SSD-накопитель: Kingston A400 960Gb или ApaceerAS340X или MSISPATIUM270 или эквивалент, материнская плата: Asus B760 (MB Asus B760) или GigabyteB760 или MSIPROB760 или эквивалент, размер оперативной памяти: не менее 32GB 5600 MHz DDR5 (RAM 32Gb 5600Mhz DDR5), тип видеокарты: встроенная или внешняя, оптический привод: DVD-RW, корпус не менее 600W (Case 600W), LAN не менее 10/100/1000 Mbps (Lan 10/100/1000 MBit/s) встроенная. Гарантийный срок на продукцию составляет 365 календарных дней со дня, следующего за днем приемки продукции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