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горизонтальные жалюзи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ՀՀԿԳՄՍՆԷԱՃԱՊՁԲ-26/73</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горизонтальные жалюзи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горизонтальные жалюзи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горизонтальные жалюзи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жалюзи, рассчитанные на 134 окна, из которых 32 имеют площадь от 0,35 м² до 0,65 м², а 102 (более 120 кв. м) — от 0,91 м² до 1,79 м².
Лампы должны быть изготовлены из алюминиевых листов шириной 25 мм. Листы должны соединяться друг с другом в горизонтальном положении с помощью троса. Подъем-опускание листов должно осуществляться с помощью управляющего троса, а вращение вокруг их оси на 180° — с помощью прозрачного пластикового стержня.
Алюминиевые листы должны быть покрыты высококачественной порошковой краской, не выцветающей на солнце и не ржавеющей от влаги.
Карниз должен быть прочным, стальным, размерами 20х25 мм, также с порошковым покрытием.
Нижняя часть жалюзи должна иметь карниз (угол) из стали с порошковым покрытием толщиной 25 мм, обеспечивающий эластичность жалюзи.
Товар должен быть новым, неиспользованным.
Доставка и установка товара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Ереван,В. Саргсяна 3, Правительство 2-й дом, Министерство образования и культуры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65-й календарный день после даты вступления договора в силу,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