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ՀՓ-ԷԱՃԱՊՁԲ-26/49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шин для нужд ЗАО “Айпост”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ՀՓ-ԷԱՃԱՊՁԲ-26/49</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шин для нужд ЗАО “Айпост”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шин для нужд ЗАО “Айпост”</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ՀՓ-ԷԱՃԱՊՁԲ-26/49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шин для нужд ЗАО “Айпост”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ՀՓ-ԷԱՃԱՊՁԲ-26/49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без воздушной камеры, предназначенная для автомобилей Lada Largus, Renault Logan, Renault Dokker.
Производство 2024-2025 гг.
Индекс скорости не менее T 190 км/ч.
Индекс нагрузки не менее 92(630). Размер 185/65/R15.
Условные показатели установлены «Техническим регламентом по пневматическим шинам», утвержденным Постановлением Правительства РА № 1558-Н от 11.11.2004. Поставка, установка, регулировка и сезонная замена товара осуществляются поставщиком за свой счет. Весь товар должен быть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без воздушной камеры для автомобиля MERCEDES-BENZ SPRINTER 516CDI
Производство 2024-2025 гг.
Индекс скорости не менее (140 км/ч)
Индекс нагрузки не менее 121 (1450 кг) 215/85/R16C или 215/75R16C
Условные показатели установлены «Техническим регламентом на пневматические шины», утвержденным Постановлением Правительства РА № 1558-Н от 11.11.2004. Поставка, установка, регулировка и сезонная замена товара осуществляются поставщиком за свой счет. Весь товар должен быть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без воздушной камеры, предназначенная для автомобиля Renault Duster.
Производство 2024-2025 гг.
Индекс скорости не менее T 190 км/ч.
Индекс нагрузки не менее 110 (1060 кг). Размер 215/65R16.
Условные показатели установлены «Техническим регламентом по пневматическим шинам», утвержденным Постановлением Правительства РА № 1558-Н от 11.11.2004. Поставка, установка, регулировка и сезонная замена продукции должны осуществляться поставщиком за свой счет. Вся продукция должна быть неиспользованной."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1-й переулок Тиграна Меца, 1-й тупик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в течение 5 дней с даты подачи запроса клиентом, начиная с 31 мая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1-й переулок Тиграна Меца, 1-й тупик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в течение 5 дней с даты подачи запроса клиентом, начиная с 31 мая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1-й переулок Тиграна Меца, 1-й тупик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в течение 5 дней с даты подачи запроса клиентом, начиная с 31 мая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