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ԶՄՄԱԲԿ-ԷԱՃԱՊՁԲ-42/26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медицинских изделий и устройств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ԶՄՄԱԲԿ-ԷԱՃԱՊՁԲ-42/26</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медицинских изделий и устройств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медицинских изделий и устройств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ԶՄՄԱԲԿ-ԷԱՃԱՊՁԲ-42/26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медицинских изделий и устройств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"ԶՄՄԱԲԿ-ԷԱՃԱՊՁԲ-42/26"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"ԶՄՄԱԲԿ-ԷԱՃԱՊՁԲ-42/26"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ԶՄՄԱԲԿ-ԷԱՃԱՊՁԲ-42/26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Механическая койка для транспортировки пациентов, габариты (ВхШхГ) 1900х640х550–850 мм, регулировка спинки: 0–70° (±10°), максимальная нагрузка 175 кг, система подъема с ручкой 1 комплект, газовый амортизатор спинки 1 шт., боковые поручни из ABS-пластика 1 комплект, колеса диаметром 6 см с центральным тормозом 4 шт., рулевое колесо 1 шт., держатели капельниц 2 шт., штатив 1 комплект, держатель кислородного баллона 1 шт., педаль центрального тормоза 2 шт., транспортировочный матрас 1 шт., педаль управления направлением движения 2 шт. Прибор должен быть новым, неиспользованным, в закрытой заводской упаковке, с инструкцией по эксплуатации на армянском или русском языке. Поставщик должен обеспечить безопасную транспортировку и установку оборудования. Ввод в эксплуатацию и запуск должны осуществляться на территории медицинского центра в присутствии представителя заказчика. Установка, обучение и техническое обслуживание в течение гарантийного периода выполняются сертифицированным специалистом. Гарантия не менее 12 месяцев. Сертификаты качества (наличие): ISO13485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используется для мониторинга, отображения, проверки, хранения, оповещения и передачи множества физиологических параметров, включая ЭКГ (3/5 отведений, анализ событий инфаркта миокарда, анализ сегмента ST и ЧСС), ЭКГ, ДД, SpO2, ЧСС, НИБП, двухканальную температуру. Подходит для взрослых, детей и новорожденных. Характеристики: 15-дюймовый сенсорный экран, автоматическая блокировка, портативный дизайн. Множество вариантов интерфейса для удобного просмотра данных пациента. Безвентиляторная конструкция, тихая работа, энергосбережение и чистота, снижение вероятности перекрестного заражения. Встроенный аккумулятор большой емкости, обеспечивающий длительное время работы. ЭКГ • Тип отведений: 3-отводные: I, II, III (опция), 5-отводные: I, II, III, aVR, aVL, aVF, V (стандартные), • Длина плеча: 2,5 мм/мВ, 5,0 мм/мВ, 10 мм/мВ, 20 мм/мВ, 40 мм/мВ • Скорость сканирования: 12,5 мм/с, 25 мм/с, 50 мм/с • Диапазон измерения ЧСС и сигналов тревоги: Взрослые: 15–300 уд/мин; Дети/Новорожденные: 15–350 уд/мин; Разрешение: 1 уд/мин; Точность: 1 % или 1 уд/мин, в зависимости от того, что больше; Режим измерения: Осциллометрия • Режим работы: Ручной/Авто/Непрерывный/Диапазон измерения в автоматическом режиме: 1 / 2 / 3 / 4 / 5 / 10 / 15 / 30 / 60 / 90 / 120 / 240 / 480 / 960 минут • Период измерения в непрерывном режиме: 5 минут/Диапазон измерения и сигнализации: 10 - 270 мм рт. ст./Разрешение: 1 мм рт. ст./Точность измерения давления в манжете: ± 3 мм рт. ст.• Точность измерения: Максимальное среднее отклонение: ± 5 мм рт. ст. Максимальное стандартное отклонение: 8 мм рт. ст./л Защита от избыточного давления: Режим для взрослых: 297 ± 3 мм рт. ст. Режим для детей: 240 ± 3 мм рт. ст. / Режим для новорожденных: 147 ± 3 мм рт. ст./SpO₂,/ • Диапазон измерения и сигнализации: 0 - 100%/л Разрешение: 1% Точность измерения: 70%-100%: PR» 2%; 0% 69%` не указано Другой диапазон: не указано • Режим измерения: сопротивление R-F (RA-LL) • Частота дыхания: Диапазон измерения: 0 - 150 об/мин Разрешение: 1 об/мин Точность: 7 - 150 об/мин, ± 2 об/мин • Скорость сканирования: 6,25 мм/с, 12,5 мм/с, 25 мм/с • Волна: Двойная волна/o Метки: ART, PA, CVP, RAP, LAP, ICP, P1, P2 • Диапазон измерения и сигнализации: -10 - 300 мм рт. ст./o Разрешение: 1 мм рт. ст. • Точность: ± 2 % или 1 мм рт. ст., в зависимости от того, что больше / Питание: 100–240 В – 50/60 Гц. Класс безопасности: Класс I, дефибриллятор типа CF. Руководство пользователя. Установка и обучение должны проводиться сертифицированным специалистом на территории медицинского центра в присутствии представителя заказчика. Гарантия: 1 год. Устройства должны быть новыми, неиспользованными, в заводской упаковке, иметь сертификаты качества ISO9001, ISO13485, соответствовать требованиям FDA, ISO 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контейнер, предназначенный для стерилизации перевязочных материалов и белья, диаметр: 30 см, объем: 12 л, изготовлен из нержавеющей стали. Поставка товара осуществляется поэтапно по запросу Заказчика; после истечения срока исполнения договора, договор расторгается в отношении непоставленной (непроданной) части.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