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լաբորատոր սարքավորումների   ձեռքբերում  ՀՀ Գնումների  մասին օրենքի 15/6 կետով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15:10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15:10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լաբորատոր սարքավորումների   ձեռքբերում  ՀՀ Գնումների  մասին օրենքի 15/6 կետով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լաբորատոր սարքավորումների   ձեռքբերում  ՀՀ Գնումների  մասին օրենքի 15/6 կետով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լաբորատոր սարքավորումների   ձեռքբերում  ՀՀ Գնումների  մասին օրենքի 15/6 կետով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1․Բարկոդի ջերմային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2․Բարկոդ սկաներ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3․Ցանցային  փոխակերպիչ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15:10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2026.04.28. 15:10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ԷԲԿ-ԷԱՃԱՊՁԲ-26/30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ԷԲԿ-ԷԱՃԱՊՁԲ-26/30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1․Բարկոդի ջերմային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Բարկոդի ջերմային տպիչ godex dt2x
USB միջերեսով միացող բարկոդի ջերմային տպիչ արյան փորձանոթների պիտակավորման համար։
Տեխնիկական բնութագրերը, ոչ պակաս քան՝
•	Տպման մեթոդը՝  ուղիղ ջերմային (direct thermal)
•	Կետայնությունը՝ 8 կետ/մմ (203 DPI)
•	Առավելագույն տպման արագությունը 152 մմ /վ
•	Առավելագույն տպման լայնությունը 108 մմշ
•	Թղթի հաստությունը	0.06 մմ -ից  0.25 մմ
•	Թղթի լայնությունը 20 մմ -ից 115 մմ
•	Թղթի երկարությունը 10 մմ -ից 1778 մմ
•	Բարկոդների տեսակը՝ 1D barcode: Code 39, Code 93, Code 128UCC, Code 128, subsets A, B, C,                Codabar, Interleaved 2 of 5, EAN-8,EAN-13, EAN-128, UPC-A, UPC-E, EAN and UPC 2(5) digits add-on, MSI, PLESSEY, POSTNET, China POST,  GS1 DataBar, Code11․ 2D barcode: PDF-417, Maxicode, DataMatrix, QR code, Aztec 
•	Երաշխիքը 1 տարի
Լրակազմը պետք է ներառի սարքի աշխատանքի համար նախատեսված պարագաները և երաշխիքային կտրոնը, ինչպես նաև 58 մմ x 30 մմ չափսի ինքնակպչուն պիտակների փաթեթ (roll) 50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2․Բարկոդ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 սկաներ  
Բարկոդ սկաներ արյան փորձանոթների բարկոդների սկանավորման համար։ 
Տեխնիկական բնութագիրը՝
•	Միջերեսը – USB, լարի երկարությունը ոչ պակաս քան 1,5մ
•	Համատեղելի - Windows 11, 10, 8.1, 8, 7 տեսակի օպերացիոն համակարգերի հետ
•	Կարդացվող բարկոդների տեսակը - Code11, Code39, Code93, Code32, Code128, Coda Bar, UPC-A, UPC-E, EAN-8, EAN-13, ISBN/ISSN, և այլ, ինչպես նաև նախածանցների, վերջածանցների և վերջնագծերի կարգավորելու հնարավորություն
•	Երաշխիքը 1 տարի
Լրակազմը պետք է ներառի սարքի աշխատանքի համար նախատեսված պարագաները և երաշխիքային կտրոնը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3․Ցանցային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փոխակերպիչ  RS 232, RS 422, RS 485
•	Սարքի կարգավորումները պետք է հնարավոր լինի իրականացնել ոչ պակաս քան Serial Console, Windows Utility, Telnet Console և Web Console (HTTP) տարբերակներով։
•	Միջերեսների քանակը՝ 2, RS232 և 10/100BaseT(X) RJ45
•	Սարքի կառավարումը պետք է հնարավոր լինի իրականացնել ոչ պակաս քան DHCP Client, IPv4, SMTP, Telnet, DNS, HTTP, ARP, BOOTP, UDP, TCP/IP և ICMP տարբերակներով։
•	Մագնիսական մեկուսացման պաշտպանության առկայություն առնվազն 1.5 կՎ (ներկառուցված)
•	Անվտանգության ստանդարտները ոչ պակաս քան EN 62368-1, IEC 62368-1 և UL 60950-1
•	Էլեկտրամագնիսական զգայունությունը (EMS) պետք է համապատասխանի առնվազն ՝
o	IEC 61000-4-2 ESD: Contact: 4 kV; Air: 8 kV 
o	IEC 61000-4-3 RS: 80 MHz to 1 GHz: 3 V/m
o	IEC 61000-4-4 EFT: Power: 1 kV; Signal: 1 kV 
o	IEC 61000-4-5 Surge: Power: 1 kV
o	IEC 61000-4-6 CS: 150 kHz to 80 MHz: 3 V/m; Signal: 3 V/m I
o	IEC 61000-4-8 PFMF IEC 61000-4-11
•	Խափանումների միջև ընկած ժամանակահատվածը (MTBF) առնվազն 3,126,448 ժամ
•	Windows-ի ծրագրային ապահովման առկայություն (driver) Windows 11, 10, 8.1, 8, 7, Vista, XP, Windows Server 2022, 2019, 2016, 2012 R2, 2012, 2008 R2, 2008, 2003 և Windows Embedded CE 6.0, 5.0, ինչպես նաև Windows XP Embedded օպերացիոն համակարգերի համար
•	Նույնականացման տվյալները պահպանվում են սարքի վրա
•	Աշխատանքային ռեժիմները՝ անջատված, Ethernet Modem, Pair Connection, Real COM, Reverse Telnet, TCP Client, TCP Server, UDP
•	Արտադրողի երաշխիքային ժամկետը ոչ պակաս քան 5 տարի
Լրակազմը պետք է ներառի սարքի աշխատանքի համար նախատեսված պարագաները և երաշխիքային կտրոնը։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