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374.16</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4.9012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440.84</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2026.04.29.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15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ՊԵԿ-ԷԱՃԾՁԲ-2026/4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ՀՀ ՊԵԿ-ԷԱՃԾՁԲ-2026/4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ՀՀ ՊԵԿ-ԷԱՃԾՁԲ-2026/4</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«ՀՀ ՊԵԿ-ԷԱՃԾՁԲ-2026/4»*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ՊԵԿ-ԷԱՃԾՁԲ-2026/4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«ՀՀ ՊԵԿ-ԷԱՃԾՁԲ-2026/4»*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 ՊԵԿ-ԷԱՃԾՁԲ-2026/4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«ՀՀ ՊԵԿ-ԷԱՃԾՁԲ-2026/4»*  ծածկագրով</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ՊԵՏՈՒԹՅԱՆ  ԿԱՐԻՔՆԵՐԻ ՀԱՄԱՐ</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__</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__</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8254,4 քմ,  հարկերի թիվը՝ 4/5/6, ունի նկուղ, ճակատային մասը՝ 740,0քմ, թվով՝ 277 աշխատասենյակ, թվով՝  2  նիստերի դահլիճ, պահեստի/արխիվի տարածք,  թվով՝ 3 մուտքի/սրահի տարածք, թվով՝ 23  սանհանգույց, 31 զուգարանակոնք, 29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20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23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31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500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5 մաքրուհու հերթապահություն, ովքեր ցանկացած պահի պետք է ապահովեն տարածքի պատշաճ մաքրությունը, այդ թվում՝ 
- 23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տարածքների գորգերի չոր մաքրում` փոշեկուլների միջոցով՝  օրական առնվազն 1 անգամ,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պահեստային/արխիվային տարածքի մաքրում՝ ամսական առնվազն 2 անգամ, 
- օդորակիչների ներքին հանգույցների արտաքին փոշեզրկում՝ ամսական առնվազն 1 անգամ,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տարածքներում առկա կանաչապատ տարածքների խնամում, այդ թվում ծառերի էտում, մոլախոտերի հեռացում:
 3. Տարեկան մաքրման ծառայություններ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Գորգերի լվացում` քիմ. մաքրում տեղում Karcher կամ Viper արտադրողների գորգերի կիսաչոր լվացման համար նախատեսված սարքավորումների միջոցով՝  տարեկան 2 անգամ (պետք է իրականացվի ոչ աշխատանաքային օրերին, Պատվիրատուի կողմից նշված ամիսներին),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ԱՅԼ ՊԱՅՄԱՆՆԵՐ
-Վճարումը կատարվելու է փաստացի մատուցված ծառայության դիմաց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Խորենացի 3, 7, 7Ա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187 աշխատանքային օր: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