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Ревизионная эндопротезирование тазобедренного сустава с использованием бесцементной головки бедренной кости типа Вагнера (биполярная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Ревизия бедренной кости, бесцементный тип Вагнера, цементированная вертлужная вставка (полиэтиленовый вкладыш вертлужной вставки, цементированная вертлужная вставка)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цементированная чашка (полиэтиленовая вставка для вертлужной впадины, цементированная вертлужная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конический бедренный стержень, бесцементная титановая вертлужная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лечения переломов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конструкции средней толщины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Ревизионная эндопротезирование тазобедренного сустава с использованием бесцементной головки бедренной кости типа Вагнера (биполярная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Ревизия бедренной кости, бесцементный тип Вагнера, цементированная вертлужная вставка (полиэтиленовый вкладыш вертлужной вставки, цементированная вертлужная вставка)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цементированная чашка (полиэтиленовая вставка для вертлужной впадины, цементированная вертлужная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конический бедренный стержень, бесцементная титановая вертлужная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лечения переломов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(нержавеющая сталь)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конструкции средней толщины (нержавеющая сталь)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