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ԶՄՄԱԲԿ-ԷԱՃԱՊՁԲ-42/26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медицинских изделий и устройств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ԶՄՄԱԲԿ-ԷԱՃԱՊՁԲ-42/26</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медицинских изделий и устройств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медицинских изделий и устройств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ԶՄՄԱԲԿ-ԷԱՃԱՊՁԲ-42/26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медицинских изделий и устройств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"ԶՄՄԱԲԿ-ԷԱՃԱՊՁԲ-42/26"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"ԶՄՄԱԲԿ-ԷԱՃԱՊՁԲ-42/26"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ԶՄՄԱԲԿ-ԷԱՃԱՊՁԲ-42/26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Механическая койка для транспортировки пациентов, габариты (ВхШхГ) 1900х640х550–850 мм, регулировка спинки: 0–70° (±10°), максимальная нагрузка 175 кг, система подъема с ручкой 1 комплект, газовый амортизатор спинки 1 шт., боковые поручни из ABS-пластика 1 комплект, колеса диаметром 6 дюйм с центральным тормозом 4 шт., рулевое колесо 1 шт., держатели капельниц 2 шт., штатив 1 комплект, держатель кислородного баллона 1 шт., педаль центрального тормоза 2 шт., транспортировочный матрас 1 шт., педаль управления направлением движения 2 шт. Прибор должен быть новым, неиспользованным, в закрытой заводской упаковке, с инструкцией по эксплуатации на армянском или русском языке. Поставщик должен обеспечить безопасную транспортировку и установку оборудования. Ввод в эксплуатацию и запуск должны осуществляться на территории медицинского центра в присутствии представителя заказчика. Установка, обучение и техническое обслуживание в течение гарантийного периода выполняются сертифицированным специалистом. Гарантия не менее 12 месяцев. Сертификаты качества (наличие): ISO13485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используется для мониторинга, отображения, проверки, хранения, оповещения и передачи множества физиологических параметров, включая ЭКГ (3/5 отведений, анализ событий инфаркта миокарда, анализ сегмента ST и ЧСС), ЭКГ, ДД, SpO2, ЧСС, НИБП, двухканальную температуру. Подходит для взрослых, детей и новорожденных. Характеристики: 15-дюймовый сенсорный экран, автоматическая блокировка, портативный дизайн. Множество вариантов интерфейса для удобного просмотра данных пациента. Безвентиляторная конструкция, тихая работа, энергосбережение и чистота, снижение вероятности перекрестного заражения. Встроенный аккумулятор большой емкости, обеспечивающий длительное время работы. ЭКГ • Тип отведений: 3-отводные: I, II, III (опция), 5-отводные: I, II, III, aVR, aVL, aVF, V (стандартные), • Длина плеча: 2,5 мм/мВ, 5,0 мм/мВ, 10 мм/мВ, 20 мм/мВ, 40 мм/мВ • Скорость сканирования: 12,5 мм/с, 25 мм/с, 50 мм/с • Диапазон измерения ЧСС и сигналов тревоги: Взрослые: 15–300 уд/мин; Дети/Новорожденные: 15–350 уд/мин; Разрешение: 1 уд/мин; Точность: 1 % или 1 уд/мин, в зависимости от того, что больше; Режим измерения: Осциллометрия • Режим работы: Ручной/Авто/Непрерывный/Диапазон измерения в автоматическом режиме: 1 / 2 / 3 / 4 / 5 / 10 / 15 / 30 / 60 / 90 / 120 / 240 / 480 / 960 минут • Период измерения в непрерывном режиме: 5 минут/Диапазон измерения и сигнализации: 10 - 270 мм рт. ст./Разрешение: 1 мм рт. ст./Точность измерения давления в манжете: ± 3 мм рт. ст.• Точность измерения: Максимальное среднее отклонение: ± 5 мм рт. ст. Максимальное стандартное отклонение: 8 мм рт. ст./л Защита от избыточного давления: Режим для взрослых: 297 ± 3 мм рт. ст. Режим для детей: 240 ± 3 мм рт. ст. / Режим для новорожденных: 147 ± 3 мм рт. ст./SpO₂,/ • Диапазон измерения и сигнализации: 0 - 100%/л Разрешение: 1% Точность измерения: 70%-100%: PR» 2%; 0% 69%` не указано Другой диапазон: не указано • Режим измерения: сопротивление R-F (RA-LL) • Частота дыхания: Диапазон измерения: 0 - 150 об/мин Разрешение: 1 об/мин Точность: 7 - 150 об/мин, ± 2 об/мин • Скорость сканирования: 6,25 мм/с, 12,5 мм/с, 25 мм/с • Волна: Двойная волна/o Метки: ART, PA, CVP, RAP, LAP, ICP, P1, P2 • Диапазон измерения и сигнализации: -10 - 300 мм рт. ст./o Разрешение: 1 мм рт. ст. • Точность: ± 2 % или 1 мм рт. ст., в зависимости от того, что больше / Питание: 100–240 В – 50/60 Гц. Класс безопасности: Класс I, дефибриллятор типа CF. Руководство пользователя. Установка и обучение должны проводиться сертифицированным специалистом на территории медицинского центра в присутствии представителя заказчика. Гарантия: 1 год. Устройства должны быть новыми, неиспользованными, в заводской упаковке, иметь сертификаты качества ISO9001, ISO13485, соответствовать требованиям FDA, ISO 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контейнер, предназначенный для стерилизации перевязочных материалов и белья, диаметр: 30 см, объем: 12 л, изготовлен из нержавеющей стали. Поставка товара осуществляется поэтапно по запросу Заказчика; после истечения срока исполнения договора, договор расторгается в отношении непоставленной (непроданной) части.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