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ноутбуков для нужд общины Масис Араратской области Республики Армения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Ռուշանյան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ноутбуков для нужд общины Масис Араратской области Республики Армения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ноутбуков для нужд общины Масис Араратской области Республики Армения на 2026 год</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ноутбуков для нужд общины Масис Араратской области Республики Армения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HP, Dell или Asus, год выпуска: не ранее 2025 года, процессор: базовая частота: не менее 2,3 ГГц, турбочастота: не менее 4,3 ГГц, ОЗУ: не менее 8 ГБ DDR4, основная память: не менее 512 ГБ NVMe SSD, экран: 39,6 см (15,6”), FHD-дисплей (1920 x 1080), встроенная веб-камера: HD-видеокамера. Разъемы: USB Type-A: не менее 2 шт., USB Type-C: не менее 1 шт., HDMI: не менее 1 шт., комбинированный аудиоразъем (3,5 мм), Wi-Fi 6. Операционная система: Windows 11 Pro 64-бит (оригинальные лицензионные ключи должны быть предоставлены вместе с компьютером).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