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Джрар ЗАО  для нужд HHTKEN-J-EACAPDzB-26/17 кодом электронного аукциона, процедуре изготовления снаряжения, приобретение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098171814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HHTKEN-J-EACAPDzB-26/17</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Джрар ЗАО  для нужд HHTKEN-J-EACAPDzB-26/17 кодом электронного аукциона, процедуре изготовления снаряжения, приобретение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Джрар ЗАО  для нужд HHTKEN-J-EACAPDzB-26/17 кодом электронного аукциона, процедуре изготовления снаряжения, приобретение</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Джрар ЗАО  для нужд HHTKEN-J-EACAPDzB-26/17 кодом электронного аукциона, процедуре изготовления снаряжения, приобретение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производственная специальная одежда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производственная специальная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(размер 50-54)
Рабочая одежда из двух частей: куртка и брюки. Плотность ткани: 260 гр/м2, цвет: темноый. Куртка с двумя боковыми карманами, длинными рукавами. Брюки: длинные, облегающие резиновые складки, два боковых кармана.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непромокаемые сапоги с нескользящей подошвой, высота-не менее 38 см, размер 42-44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из ткани с латексным покрытием, размер – 10, класс вязки – 10, вес – 55-70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Джрашен Араратского марза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Джрашен Араратского марза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Джрашен Араратского марза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производственная специальная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