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4DDC6" w14:textId="77777777" w:rsidR="00CA35AE" w:rsidRPr="00CA35AE" w:rsidRDefault="00CA35AE" w:rsidP="00CA35AE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5AE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517CC986" w14:textId="65A310FE" w:rsidR="00CA35AE" w:rsidRPr="00CA35AE" w:rsidRDefault="00CA35AE" w:rsidP="00CA35A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«Երևան» Բժշկագիտական Կենտրոն ՓԲԸ-ի </w:t>
      </w:r>
      <w:r w:rsidR="00C83067" w:rsidRPr="00344BAA">
        <w:rPr>
          <w:rFonts w:ascii="GHEA Grapalat" w:hAnsi="GHEA Grapalat" w:cs="Sylfaen"/>
          <w:sz w:val="22"/>
          <w:szCs w:val="22"/>
          <w:lang w:val="hy-AM"/>
        </w:rPr>
        <w:t>բժշկական պարագաների</w:t>
      </w: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  <w:r w:rsidR="00C8306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144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219"/>
        <w:gridCol w:w="1211"/>
        <w:gridCol w:w="4340"/>
        <w:gridCol w:w="851"/>
        <w:gridCol w:w="996"/>
        <w:gridCol w:w="567"/>
        <w:gridCol w:w="1053"/>
        <w:gridCol w:w="425"/>
        <w:gridCol w:w="567"/>
        <w:gridCol w:w="2316"/>
        <w:gridCol w:w="22"/>
      </w:tblGrid>
      <w:tr w:rsidR="00CA35AE" w:rsidRPr="007F15C5" w14:paraId="30A83F41" w14:textId="77777777" w:rsidTr="00B20DA0">
        <w:trPr>
          <w:gridAfter w:val="1"/>
          <w:wAfter w:w="22" w:type="dxa"/>
          <w:trHeight w:val="20"/>
        </w:trPr>
        <w:tc>
          <w:tcPr>
            <w:tcW w:w="14459" w:type="dxa"/>
            <w:gridSpan w:val="11"/>
            <w:vAlign w:val="center"/>
          </w:tcPr>
          <w:p w14:paraId="6C346233" w14:textId="2085407B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35AE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br/>
            </w:r>
            <w:r w:rsidRPr="007F15C5">
              <w:rPr>
                <w:rFonts w:ascii="GHEA Grapalat" w:hAnsi="GHEA Grapalat"/>
                <w:sz w:val="16"/>
                <w:szCs w:val="16"/>
              </w:rPr>
              <w:t>Ապրանքի</w:t>
            </w:r>
          </w:p>
        </w:tc>
      </w:tr>
      <w:tr w:rsidR="00CA35AE" w:rsidRPr="007F15C5" w14:paraId="51F865E6" w14:textId="77777777" w:rsidTr="00EC3F20">
        <w:trPr>
          <w:trHeight w:val="20"/>
        </w:trPr>
        <w:tc>
          <w:tcPr>
            <w:tcW w:w="914" w:type="dxa"/>
            <w:vMerge w:val="restart"/>
            <w:vAlign w:val="center"/>
          </w:tcPr>
          <w:p w14:paraId="418F7CD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219" w:type="dxa"/>
            <w:vMerge w:val="restart"/>
            <w:vAlign w:val="center"/>
          </w:tcPr>
          <w:p w14:paraId="38B581AD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11" w:type="dxa"/>
            <w:vMerge w:val="restart"/>
            <w:vAlign w:val="center"/>
          </w:tcPr>
          <w:p w14:paraId="263C9274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4340" w:type="dxa"/>
            <w:vMerge w:val="restart"/>
            <w:vAlign w:val="center"/>
          </w:tcPr>
          <w:p w14:paraId="7CCB465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851" w:type="dxa"/>
            <w:vMerge w:val="restart"/>
            <w:vAlign w:val="center"/>
          </w:tcPr>
          <w:p w14:paraId="1D56DF36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չափման միավոր</w:t>
            </w:r>
          </w:p>
        </w:tc>
        <w:tc>
          <w:tcPr>
            <w:tcW w:w="996" w:type="dxa"/>
            <w:vMerge w:val="restart"/>
            <w:vAlign w:val="center"/>
          </w:tcPr>
          <w:p w14:paraId="28BDDF7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միավոր գինը/ՀՀ դրամ</w:t>
            </w:r>
          </w:p>
        </w:tc>
        <w:tc>
          <w:tcPr>
            <w:tcW w:w="567" w:type="dxa"/>
            <w:vMerge w:val="restart"/>
            <w:vAlign w:val="center"/>
          </w:tcPr>
          <w:p w14:paraId="17332264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ընդհանուր գինը/ՀՀ դրամ</w:t>
            </w:r>
          </w:p>
        </w:tc>
        <w:tc>
          <w:tcPr>
            <w:tcW w:w="1053" w:type="dxa"/>
            <w:vMerge w:val="restart"/>
            <w:vAlign w:val="center"/>
          </w:tcPr>
          <w:p w14:paraId="1FBB0C5B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3330" w:type="dxa"/>
            <w:gridSpan w:val="4"/>
            <w:vAlign w:val="center"/>
          </w:tcPr>
          <w:p w14:paraId="65D5B11C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CA35AE" w:rsidRPr="007F15C5" w14:paraId="166ADF01" w14:textId="77777777" w:rsidTr="00EC3F20">
        <w:trPr>
          <w:cantSplit/>
          <w:trHeight w:val="20"/>
        </w:trPr>
        <w:tc>
          <w:tcPr>
            <w:tcW w:w="914" w:type="dxa"/>
            <w:vMerge/>
            <w:vAlign w:val="center"/>
          </w:tcPr>
          <w:p w14:paraId="416A0385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9" w:type="dxa"/>
            <w:vMerge/>
            <w:vAlign w:val="center"/>
          </w:tcPr>
          <w:p w14:paraId="1B15CC6D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</w:tcPr>
          <w:p w14:paraId="2E503389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40" w:type="dxa"/>
            <w:vMerge/>
            <w:vAlign w:val="center"/>
          </w:tcPr>
          <w:p w14:paraId="55D5E29D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096384B2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vAlign w:val="center"/>
          </w:tcPr>
          <w:p w14:paraId="49E6441B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1CF966E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3" w:type="dxa"/>
            <w:vMerge/>
            <w:vAlign w:val="center"/>
          </w:tcPr>
          <w:p w14:paraId="33CAAC8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149F4E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567" w:type="dxa"/>
            <w:vAlign w:val="center"/>
          </w:tcPr>
          <w:p w14:paraId="0D457320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</w:tc>
        <w:tc>
          <w:tcPr>
            <w:tcW w:w="2338" w:type="dxa"/>
            <w:gridSpan w:val="2"/>
            <w:vAlign w:val="center"/>
          </w:tcPr>
          <w:p w14:paraId="3C5E5C5B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Ժամկետը</w:t>
            </w:r>
          </w:p>
          <w:p w14:paraId="0B09EA36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0DA0" w:rsidRPr="00EC3F20" w14:paraId="73D404A3" w14:textId="77777777" w:rsidTr="00EC3F20">
        <w:trPr>
          <w:cantSplit/>
          <w:trHeight w:val="2592"/>
        </w:trPr>
        <w:tc>
          <w:tcPr>
            <w:tcW w:w="914" w:type="dxa"/>
            <w:vAlign w:val="center"/>
          </w:tcPr>
          <w:p w14:paraId="1CF9E47C" w14:textId="77777777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19" w:type="dxa"/>
            <w:vAlign w:val="center"/>
          </w:tcPr>
          <w:p w14:paraId="39BF2896" w14:textId="7D4FA1F4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33181340</w:t>
            </w:r>
          </w:p>
        </w:tc>
        <w:tc>
          <w:tcPr>
            <w:tcW w:w="1211" w:type="dxa"/>
            <w:vAlign w:val="center"/>
          </w:tcPr>
          <w:p w14:paraId="7584DD87" w14:textId="3B762C6E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Պերիֆերիկ ինքնաբացվող ստենտ </w:t>
            </w:r>
          </w:p>
        </w:tc>
        <w:tc>
          <w:tcPr>
            <w:tcW w:w="4340" w:type="dxa"/>
            <w:vAlign w:val="center"/>
          </w:tcPr>
          <w:p w14:paraId="071BCFF7" w14:textId="3F9345D0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Ինքնաբացվող պերիֆերիկ ստենտ, OTW առաքման համակարգով, ստենտի նյութը նիտինոլ, դիզայնը հիբրիդային՝ բաց և փակ բջիջներով, ճաղերի հաստությունը 170µ, շավթի աշխատանքային երկարությունը 120սմ, ռենտգենկոնտրաստային նշակիրներ, համատեղելի 0,035" ուղղորդիչի հետ և 6fr ինտրադյուսորի հետ: Ստենտի չափսերը՝ -տրամագծերը՝ 5,0; 6,0; 7,0 և 8,0մմ, երկարությունը առնվազն 9 չափ յուրաքանչյուր տրամագծի համար, ընդ որում ամենակարճը` ոչ ավել քան 40մմ, ամենաերկարը` ոչ պակաս քան 220մմ: -տրամագիծ 9,0մմ, երկարությունը առնվազն 3 չափ ընդ որում ամենակարճը` ոչ ավել քան 40մմ, ամենաերկարը` ոչ պակաս քան 80մմ: -տրամագիծ 10,0մմ, երկարությունը առնվազն 5 չափ ընդ որում ամենակարճը` ոչ ավել քան 40մմ, ամենաերկարը` ոչ պակաս քան 120մմ: Պայմանագրի կատարման փուլում պետք է ներկայացվի ապրանքն արտադրողից կամ վերջինիս ներկայացուցչի կողմից տրված երաշխիքային նամակ</w:t>
            </w:r>
          </w:p>
        </w:tc>
        <w:tc>
          <w:tcPr>
            <w:tcW w:w="851" w:type="dxa"/>
            <w:vAlign w:val="center"/>
          </w:tcPr>
          <w:p w14:paraId="5105EAF4" w14:textId="0FEA0BD7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6B1383A1" w14:textId="7D3C6ABD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ADB464" w14:textId="243ADC2A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53" w:type="dxa"/>
            <w:vAlign w:val="center"/>
          </w:tcPr>
          <w:p w14:paraId="30EE58BD" w14:textId="783AEF9F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2CF2087" w14:textId="77777777" w:rsidR="00B20DA0" w:rsidRPr="007F15C5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1F1FBB07" w14:textId="77777777" w:rsidR="00B20DA0" w:rsidRPr="007F15C5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5F70575A" w14:textId="3EF59B1F" w:rsidR="00B20DA0" w:rsidRPr="00B20DA0" w:rsidRDefault="00B20DA0" w:rsidP="00B20DA0">
            <w:pPr>
              <w:spacing w:line="0" w:lineRule="atLeast"/>
              <w:jc w:val="both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7B4C4F81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27C2E577" w14:textId="7777777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19" w:type="dxa"/>
            <w:vAlign w:val="center"/>
          </w:tcPr>
          <w:p w14:paraId="7AE9D0A2" w14:textId="73051556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33181340</w:t>
            </w:r>
          </w:p>
        </w:tc>
        <w:tc>
          <w:tcPr>
            <w:tcW w:w="1211" w:type="dxa"/>
            <w:vAlign w:val="center"/>
          </w:tcPr>
          <w:p w14:paraId="76F5BED9" w14:textId="30BF19B1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Երիկամային զարկերակի ստենտ</w:t>
            </w:r>
          </w:p>
        </w:tc>
        <w:tc>
          <w:tcPr>
            <w:tcW w:w="4340" w:type="dxa"/>
            <w:vAlign w:val="center"/>
          </w:tcPr>
          <w:p w14:paraId="264BAE0A" w14:textId="2E49736B" w:rsidR="00B20DA0" w:rsidRPr="007F15C5" w:rsidRDefault="00B20DA0" w:rsidP="00B20DA0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403931"/>
                <w:sz w:val="16"/>
                <w:szCs w:val="16"/>
                <w:lang w:val="en-US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OTW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տիպի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պատած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Պակլիտակսել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դեղով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դեղի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դոզան՝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3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մկգ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/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²,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շավթի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80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և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135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0,014''/0,035''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ուղղորդիչների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չափսերը՝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-2,00; 2,50; 3,00; 3,50; 4,00; 5,00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և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6,00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երկարությունները՝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40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250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; -7,00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և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8,00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երկարությունները՝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40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150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;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Պայմանագրի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կատարման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փուլում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պետք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ներկայացվի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ապրանքն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արտադրողից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վերջինիս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ներկայացուցչի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կողմից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տրված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երաշխիքային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նամակ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51" w:type="dxa"/>
            <w:vAlign w:val="center"/>
          </w:tcPr>
          <w:p w14:paraId="40608223" w14:textId="52DD9AB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516D3DA6" w14:textId="11D7C7C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E2E756" w14:textId="11F170A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3" w:type="dxa"/>
            <w:vAlign w:val="center"/>
          </w:tcPr>
          <w:p w14:paraId="29D1CCDF" w14:textId="08079DFA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0AD5FCD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46411EAD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5ABC0D05" w14:textId="6ECB214A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522246AB" w14:textId="77777777" w:rsidTr="00EC3F20">
        <w:trPr>
          <w:cantSplit/>
          <w:trHeight w:val="3983"/>
        </w:trPr>
        <w:tc>
          <w:tcPr>
            <w:tcW w:w="914" w:type="dxa"/>
            <w:vAlign w:val="center"/>
          </w:tcPr>
          <w:p w14:paraId="39930E23" w14:textId="7777777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1219" w:type="dxa"/>
            <w:vAlign w:val="center"/>
          </w:tcPr>
          <w:p w14:paraId="59921B5F" w14:textId="2510733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33141137</w:t>
            </w:r>
          </w:p>
        </w:tc>
        <w:tc>
          <w:tcPr>
            <w:tcW w:w="1211" w:type="dxa"/>
            <w:vAlign w:val="center"/>
          </w:tcPr>
          <w:p w14:paraId="5530F05D" w14:textId="6AABD47B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Դեղապատ բալոն կաթետր պերիֆերիկ</w:t>
            </w:r>
          </w:p>
        </w:tc>
        <w:tc>
          <w:tcPr>
            <w:tcW w:w="4340" w:type="dxa"/>
            <w:vAlign w:val="center"/>
          </w:tcPr>
          <w:p w14:paraId="513A3011" w14:textId="5D037548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կ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Կաթետր բալոն պերիֆերիկ, OTW տիպի, պատած Պակլիտակսել դեղով, դեղի դոզան՝ 3մկգ/մմ², շավթի երկարությունը 80սմ և 135սմ, համատեղելի 0,014''/0,035'' ուղղորդիչների հետ: Բալոնի չափսերը՝ -2,00; 2,50; 3,00; 3,50; 4,00; 5,00 և 6,00մմ տրամագծերի համար երկարությունները՝ առնվազն 7 չափ յուրաքանչյուր տրամագծի համար, ընդ որում ամենակարճը` ոչ ավել քան 40մմ, ամենաերկարը` ոչ պակաս քան 250մմ; -7,00 և 8,00մմ տրամագծերի համար երկարությունները՝ առնվազն 5 չափ յուրաքանչյուր տրամագծի համար, ընդ որում ամենակարճը` ոչ ավել քան 40մմ, ամենաերկարը` ոչ պակաս քան 150մմ; Պայմանագրի կատարման փուլում պետք է ներկայացվի ապրանքն արտադրողից կամ վերջինիս ներկայացուցչի կողմից տրված երաշխիքային նամակ</w:t>
            </w:r>
          </w:p>
        </w:tc>
        <w:tc>
          <w:tcPr>
            <w:tcW w:w="851" w:type="dxa"/>
            <w:vAlign w:val="center"/>
          </w:tcPr>
          <w:p w14:paraId="4052E59A" w14:textId="68B73BFF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473F0E3A" w14:textId="27443300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119345" w14:textId="17A2D886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3" w:type="dxa"/>
            <w:vAlign w:val="center"/>
          </w:tcPr>
          <w:p w14:paraId="124BB3DB" w14:textId="0CDA47FD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D3FA0B6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0D056340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5389377B" w14:textId="18A4724C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6830D195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07FDF7EC" w14:textId="7777777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19" w:type="dxa"/>
            <w:vAlign w:val="center"/>
          </w:tcPr>
          <w:p w14:paraId="2F9065BC" w14:textId="0320B8E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33141211</w:t>
            </w:r>
          </w:p>
        </w:tc>
        <w:tc>
          <w:tcPr>
            <w:tcW w:w="1211" w:type="dxa"/>
            <w:vAlign w:val="center"/>
          </w:tcPr>
          <w:p w14:paraId="519BAE98" w14:textId="47FE622A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Անոթները կարող գործիք</w:t>
            </w:r>
          </w:p>
        </w:tc>
        <w:tc>
          <w:tcPr>
            <w:tcW w:w="4340" w:type="dxa"/>
            <w:vAlign w:val="bottom"/>
          </w:tcPr>
          <w:p w14:paraId="43BF0CC7" w14:textId="0508B55C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Ազդրային զարկերակը կարող գործիք, նախատեսված արագ, անվտանգ եւ հուսալի մեխանիկական հեմոստազի համար: Պարզ 3 քայլով խցանման սարք է, որը փակում և տեղադրում է արտերիոտոմիան խարիսխի և կոլագենի սպունգի միջև: Հեմոստազը ձեռք է բերվում հիմնականում մեխանիկական խարիսխ-արտերիոտոմիա-կոլագենային սենդվիչի միջոցով, որը լրացվում է կոլագենի կոագուլյացիոն հատկություններով: Պետք է ներծծվի 90 օրվա ընթացքում: Չափսերը 6Fr՝ կիրառելի 6fr և 7fr ինտրադյուսորների հետ, և 8 Fr՝ կիրառելի 8fr և 9fr ինտրադյուսորների հետ: Ընդհանուր երկարությունը ոչ ավել քան 205մմ, աշխատանքային երկարությունը ոչ պակաս քան 155սմ։ CE սերտիֆիկատի առկայությունը պարտադիր է:</w:t>
            </w:r>
          </w:p>
        </w:tc>
        <w:tc>
          <w:tcPr>
            <w:tcW w:w="851" w:type="dxa"/>
            <w:vAlign w:val="center"/>
          </w:tcPr>
          <w:p w14:paraId="135A079C" w14:textId="3A224491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36F72456" w14:textId="7E653CCC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FA7C9D" w14:textId="457EC4BB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53" w:type="dxa"/>
            <w:vAlign w:val="center"/>
          </w:tcPr>
          <w:p w14:paraId="708B73EA" w14:textId="2D085B5A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0EAD2E4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3BA94A79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16056643" w14:textId="550C36F8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538E977F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02F086F0" w14:textId="2056D31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219" w:type="dxa"/>
            <w:vAlign w:val="center"/>
          </w:tcPr>
          <w:p w14:paraId="6075531E" w14:textId="1962716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33141137</w:t>
            </w:r>
          </w:p>
        </w:tc>
        <w:tc>
          <w:tcPr>
            <w:tcW w:w="1211" w:type="dxa"/>
            <w:vAlign w:val="center"/>
          </w:tcPr>
          <w:p w14:paraId="10028D01" w14:textId="6ADB414F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 կաթետր պերիֆերիկ</w:t>
            </w:r>
          </w:p>
        </w:tc>
        <w:tc>
          <w:tcPr>
            <w:tcW w:w="4340" w:type="dxa"/>
            <w:vAlign w:val="center"/>
          </w:tcPr>
          <w:p w14:paraId="4CE82772" w14:textId="78656D9B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 բալոն պերիֆերիկ, OTW տիպի, համատեղելի 0.014" և 0.035" ուղղորդիչների հետ, շավթի երկարությունը 80, 135 և 150սմ ըստ համապատասխան ուղղորդիչների համատեղելիության՝ 0,014''/0,035'' ուղղորդիչների հետ, հիդրոֆիլ ծածկույթով, առնվազն երկու ռենտգենոկոնտրաստային մարկերի առկայություն, համատեղելիություն 4-7ֆր ինտրադյուսերի հետ ըստ համապատասխան ուղղորդիչի: Բալոնի նյութը՝ PEBA, չափսերը՝ -1,5մմ տրամագծի համար երկարությունները՝ առնվազն 3 չափ, ընդ որում ամենակարճը` ոչ ավել քան 40մմ, ամենաերկարը` ոչ պակաս քան 80մմ: -2,0; 2,5; 3,0; 3,5; 4,0 և 5,0մմ տրամագծերի համար երկարությունները՝ առնվազն 7 չափ յուրաքանչյուր տրամագծի համար, ընդ որում ամենակարճը` ոչ ավել քան 40մմ, ամենաերկարը` ոչ պակաս քան 250մմ: -6,0; 7,0 և 8,0մմ տրամագծերի համար երկարությունները՝ առնվազն 8 չափ յուրաքանչյուր տրամագծի համար, ընդ որում ամենակարճը` ոչ ավել քան 20մմ, ամենաերկարը` ոչ պակաս քան 150մմ: -9,0; 10,0; 12,0 և 14,0մմ տրամագծերի համար երկարությունները՝ առնվազն 6 չափ յուրաքանչյուր տրամագծի համար, ընդ որում ամենակարճը` ոչ ավել քան 20մմ, ամենաերկարը` ոչ պակաս քան 80մմ:</w:t>
            </w:r>
          </w:p>
        </w:tc>
        <w:tc>
          <w:tcPr>
            <w:tcW w:w="851" w:type="dxa"/>
            <w:vAlign w:val="center"/>
          </w:tcPr>
          <w:p w14:paraId="013E1038" w14:textId="662AC187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4500D29D" w14:textId="34A54624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9CB990" w14:textId="2758EFD8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053" w:type="dxa"/>
            <w:vAlign w:val="center"/>
          </w:tcPr>
          <w:p w14:paraId="56879729" w14:textId="389F1A4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ABEF589" w14:textId="7A1988F3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7ADE42FC" w14:textId="40A7DC5F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3BBCC2EB" w14:textId="7E281526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376821BA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5D339405" w14:textId="3DEC8E5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219" w:type="dxa"/>
            <w:vAlign w:val="center"/>
          </w:tcPr>
          <w:p w14:paraId="1EC25D6F" w14:textId="70A53D1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33181340</w:t>
            </w:r>
          </w:p>
        </w:tc>
        <w:tc>
          <w:tcPr>
            <w:tcW w:w="1211" w:type="dxa"/>
            <w:vAlign w:val="center"/>
          </w:tcPr>
          <w:p w14:paraId="21872818" w14:textId="0AC7194B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 ստենտ</w:t>
            </w:r>
          </w:p>
        </w:tc>
        <w:tc>
          <w:tcPr>
            <w:tcW w:w="4340" w:type="dxa"/>
            <w:vAlign w:val="center"/>
          </w:tcPr>
          <w:p w14:paraId="5919E01B" w14:textId="1322171C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Մատրիցային ընդարձակվող բալոնային պերիֆերիկ ստենտ, նյութը՝ կոբալտ-քրոմի համաձուլվածք L-605, կառուցված մի քանի ալիքաձև օղակներից՝ դրանց միջև միացումներով, առաքման համակարգը OTW , շավթի երկարությունը 80սմ և 135սմ, համատեղելի 0.035" ուղղորդչի հետ, համադրելիություն 6 և 7ֆր ինտրադյուսերի հետ, կաթետրի դիստալ հատվածի հիդրոֆիլային ծածկույթ, ունի ռենտգենկոնտրաստ մարկերներ: Ստենտի չափերը՝ -տրամագծերը` 5,0; 6,0; 7,0; 8,0; 9,0 և 10,0մմ, երկարությունը առնվազն 5 չափ յուրաքանչյուր տրամագծերի համար, ընդ որում ամենակարճը` ոչ ավել քան 17մմ, ամենաերկարը` ոչ պակաս քան 57մմ: Ապրանքի մատակարարման փուլում Վաճառողը պետք է տրամադրի արտադրողի կողմից ներկայացվող համապատասխանության հավաստագիր, ավտորիզացիոն(երաշխիքային-լիազոր) նամակ, ծագման սերտիֆիկատ:</w:t>
            </w:r>
          </w:p>
        </w:tc>
        <w:tc>
          <w:tcPr>
            <w:tcW w:w="851" w:type="dxa"/>
            <w:vAlign w:val="center"/>
          </w:tcPr>
          <w:p w14:paraId="50B75F46" w14:textId="1DDD3DE1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25CED6C0" w14:textId="4380A0A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1140D2" w14:textId="2AF38F42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53" w:type="dxa"/>
            <w:vAlign w:val="center"/>
          </w:tcPr>
          <w:p w14:paraId="2FF06D31" w14:textId="4ABEFA5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599AD6B" w14:textId="02BDF95D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639EB9AF" w14:textId="4D1417E3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5B466A48" w14:textId="03C22D91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35C1B6E1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7F8D2E99" w14:textId="371D84E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219" w:type="dxa"/>
            <w:vAlign w:val="center"/>
          </w:tcPr>
          <w:p w14:paraId="66419A7E" w14:textId="0E25361C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33141174</w:t>
            </w:r>
          </w:p>
        </w:tc>
        <w:tc>
          <w:tcPr>
            <w:tcW w:w="1211" w:type="dxa"/>
            <w:vAlign w:val="center"/>
          </w:tcPr>
          <w:p w14:paraId="7DD0B7CD" w14:textId="0979BF92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Լապարատոմիկ հավաքածու</w:t>
            </w:r>
          </w:p>
        </w:tc>
        <w:tc>
          <w:tcPr>
            <w:tcW w:w="4340" w:type="dxa"/>
            <w:vAlign w:val="center"/>
          </w:tcPr>
          <w:p w14:paraId="4B28201E" w14:textId="1EB70B26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Հավաքածուն կազմված է հիվանդի ծածկոց՝ 310*270սմ-1հատ, անձեռոցիկ ՝ 40*40-2 հատ, Փաթաթող սավան 160*230սմ-1հատ, Ինքնակպչուն սավան ՝ 70*70-4հատ, Մայո ծածկոց -1հատ, Խալաթ XL -2 հատ։ Հավաքածուն ունենա առանձին փաթեթավորում և լինի ստերիլ։</w:t>
            </w:r>
          </w:p>
        </w:tc>
        <w:tc>
          <w:tcPr>
            <w:tcW w:w="851" w:type="dxa"/>
            <w:vAlign w:val="center"/>
          </w:tcPr>
          <w:p w14:paraId="5D65076C" w14:textId="6F3372BD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6" w:type="dxa"/>
            <w:vAlign w:val="center"/>
          </w:tcPr>
          <w:p w14:paraId="07DAA2FD" w14:textId="1B95D2F0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AB74D6" w14:textId="73054660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53" w:type="dxa"/>
            <w:vAlign w:val="center"/>
          </w:tcPr>
          <w:p w14:paraId="71AE2708" w14:textId="5DCA0F0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11C5052" w14:textId="16E534AA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764241B6" w14:textId="7222160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66DFE0D8" w14:textId="774BB5AB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EC3F20" w14:paraId="4137F2C9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0E6C4F76" w14:textId="4E8E555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219" w:type="dxa"/>
            <w:vAlign w:val="center"/>
          </w:tcPr>
          <w:p w14:paraId="587B1405" w14:textId="77777777" w:rsidR="00BA209A" w:rsidRPr="00BA209A" w:rsidRDefault="00BA209A" w:rsidP="00BA209A">
            <w:pPr>
              <w:spacing w:after="300"/>
              <w:jc w:val="center"/>
              <w:rPr>
                <w:rFonts w:ascii="Helvetica" w:hAnsi="Helvetica" w:cs="Helvetica"/>
                <w:color w:val="403931"/>
                <w:sz w:val="19"/>
                <w:szCs w:val="19"/>
              </w:rPr>
            </w:pPr>
            <w:r>
              <w:rPr>
                <w:rFonts w:ascii="Helvetica" w:hAnsi="Helvetica" w:cs="Helvetica"/>
                <w:color w:val="403931"/>
                <w:sz w:val="19"/>
                <w:szCs w:val="19"/>
              </w:rPr>
              <w:br/>
              <w:t>33141224 </w:t>
            </w:r>
            <w:r w:rsidRPr="00BA209A">
              <w:rPr>
                <w:rFonts w:ascii="Helvetica" w:hAnsi="Helvetica" w:cs="Helvetica"/>
                <w:color w:val="403931"/>
                <w:sz w:val="19"/>
                <w:szCs w:val="19"/>
              </w:rPr>
              <w:t>/14</w:t>
            </w:r>
          </w:p>
          <w:p w14:paraId="6C3118B6" w14:textId="504CDA42" w:rsidR="00B20DA0" w:rsidRPr="00BA209A" w:rsidRDefault="00B20DA0" w:rsidP="00B20DA0">
            <w:pPr>
              <w:jc w:val="center"/>
              <w:rPr>
                <w:rFonts w:ascii="Helvetica" w:hAnsi="Helvetica" w:cs="Helvetica"/>
                <w:color w:val="403931"/>
                <w:sz w:val="19"/>
                <w:szCs w:val="19"/>
              </w:rPr>
            </w:pPr>
          </w:p>
        </w:tc>
        <w:tc>
          <w:tcPr>
            <w:tcW w:w="1211" w:type="dxa"/>
            <w:vAlign w:val="center"/>
          </w:tcPr>
          <w:p w14:paraId="328DFCD2" w14:textId="3E4714A9" w:rsidR="00B20DA0" w:rsidRPr="007F15C5" w:rsidRDefault="003A2CEB" w:rsidP="00B20DA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>վիրաբուժական գործիքներ/ էլեկտրավիրաբուժական գեներատոր/</w:t>
            </w:r>
          </w:p>
        </w:tc>
        <w:tc>
          <w:tcPr>
            <w:tcW w:w="4340" w:type="dxa"/>
            <w:vAlign w:val="center"/>
          </w:tcPr>
          <w:p w14:paraId="0C28E420" w14:textId="26B727C8" w:rsidR="00B20DA0" w:rsidRPr="007F15C5" w:rsidRDefault="00B20DA0" w:rsidP="00B20DA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Բարձր արդյունավետությամբ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Էլեկտրավիրաբուժական գեներատոր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ES-100V ES-100V-ն ունակ է իրականացնել մոնոպոլյար և բիպոլյար վիրաբուժական միջամտությունների մեծ մասը: Հագեցած լինելով անվտանգության հուսալի գործառույթներով՝ այն բավարարում է  պահանջները՝ ապահովելով ճշգրտություն, անվտանգություն և հուսալիություն: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Հիմնական առանձնահատկությունները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3 Մոնոպոլյար կտրման ռեժիմ: Մաքուր կտրում (Pure Cut), Խառը 1 (Blend 1), Խառը 2 (Blend 2)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2 Կոագուլյացիայի ռեժիմ: Ցողացիր (Spray), Հարկադիր (Forced)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1 Բիպոլյար ելք: Ստանդարտ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CQM: Կոնտակտի որակի վերահսկման համակարգ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Կառավարում: Էլեկտրավիրաբուժական գրիչների և ոտնակային անջատիչի միջոցով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Հիշողություն: Վերջին օգտագործված ռեժիմի, հզորության և այլ պարամետրերի պահպանում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Կարգավորում: Հզորության և ձայնի արագ կարգավորում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Աշխատանք: Կտրում և կոագուլյացիա ընդհատվող ռեժիմով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Ապրանքի տեխնիկական բնութագրերը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Տեսակ | Ռեժիմ | Առավելագույն ելքային հզորություն (Վտ) | Բեռնվածության դիմադրություն (</w:t>
            </w:r>
            <w:r w:rsidRPr="007F15C5">
              <w:rPr>
                <w:rFonts w:ascii="Cambria" w:hAnsi="Cambria" w:cs="Cambria"/>
                <w:color w:val="000000"/>
                <w:sz w:val="16"/>
                <w:szCs w:val="16"/>
              </w:rPr>
              <w:t>Ω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| </w:t>
            </w:r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Մոդուլյացիայի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հաճախականություն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կՀց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| </w:t>
            </w:r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Առավելագույն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ելքային լարում (Վ) | Կրեստ-ֆակտոր (Crest Factor)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|---|---|---|---|---|---|---|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Մոնոպոլյար | Կտրում (Cut) |  |  |  |  | 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 | Մաքուր (Pure Cut) | 100 | 500 | -- | 1300 | 1.5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 | Խառը 1 (Blend 1) | 100 | 500 | 20 | 1400 | 2.0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 | Խառը 2 (Blend 2) | 100 | 500 | 20 | 1500 | 2.0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 | Կոագ (Coag) |  |  |  |  | 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 | Ցողացիր (Spray) | 90 | 500 | 12-24 | 4800 | 6.3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 | Հարկադիր (Forced) | 60 | 500 | 25 | 4800 | 5.2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 Բիպոլյար | Ստանդարտ | 60 | 100 | 20 | 700 | 1.5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Լրացուցիչ տվյալներ: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Սարքի չափսերը: 265 * 259 * 114 մմ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Քաշը: 7.50 կգ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Ելքային հաճախականություն: 416 կՀց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Սնուցման լարում: 100-240 Վ, 50-60 Հց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ES-100V Լրակազմ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Էլեկտրավիրաբուժական գեներատոր ES-100V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Մոնոպոլյար ոտնակային փոխանջատիչ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Էլեկտրական գրիչ միացման մալուխով (մեկանգամյա օգտագործման)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Բացասական էլեկտրոդ (թիթեղ)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Բժշկական բացասական էլեկտրոդի միացման 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մալուխ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Բիպոլյար ունելի (պինցետ) միացման մալուխով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Սնուցման լար — 1 հատ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Քաշը՝ 7.9 կգ</w:t>
            </w:r>
          </w:p>
        </w:tc>
        <w:tc>
          <w:tcPr>
            <w:tcW w:w="851" w:type="dxa"/>
            <w:vAlign w:val="center"/>
          </w:tcPr>
          <w:p w14:paraId="17C45F51" w14:textId="184ACAA0" w:rsidR="00B20DA0" w:rsidRPr="003A2CEB" w:rsidRDefault="003A2CEB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լրակազմ</w:t>
            </w:r>
          </w:p>
        </w:tc>
        <w:tc>
          <w:tcPr>
            <w:tcW w:w="996" w:type="dxa"/>
            <w:vAlign w:val="center"/>
          </w:tcPr>
          <w:p w14:paraId="63896909" w14:textId="2BAFC1E9" w:rsidR="00B20DA0" w:rsidRPr="007F15C5" w:rsidRDefault="00B20DA0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8F6A78" w14:textId="2F2812C7" w:rsidR="00B20DA0" w:rsidRPr="007F15C5" w:rsidRDefault="00B20DA0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3" w:type="dxa"/>
            <w:vAlign w:val="center"/>
          </w:tcPr>
          <w:p w14:paraId="7DF43C28" w14:textId="10AEC1DE" w:rsidR="00B20DA0" w:rsidRPr="007F15C5" w:rsidRDefault="00B20DA0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DB4BE13" w14:textId="20B3F432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39EC95FA" w14:textId="32ABDA23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Համաձայն պատվերի</w:t>
            </w:r>
          </w:p>
        </w:tc>
        <w:tc>
          <w:tcPr>
            <w:tcW w:w="2338" w:type="dxa"/>
            <w:gridSpan w:val="2"/>
            <w:vAlign w:val="center"/>
          </w:tcPr>
          <w:p w14:paraId="44425EB4" w14:textId="4E861861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</w:tbl>
    <w:p w14:paraId="0F61C645" w14:textId="0D5BA1E5" w:rsidR="003A2CEB" w:rsidRPr="002A3963" w:rsidRDefault="003A2CEB" w:rsidP="003A2CEB">
      <w:pPr>
        <w:pStyle w:val="FootnoteText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0AA31B59" w14:textId="7423AB76" w:rsidR="002A3963" w:rsidRPr="002A3963" w:rsidRDefault="002A3963" w:rsidP="003A2CEB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ԾԱՆՈՒՑՈՒՄ Բոլոր ապրանրանքների դիմաց վճարումը իրականացվելու է փաստացի մատակարարված ապրանքների քանակով։</w:t>
      </w:r>
    </w:p>
    <w:p w14:paraId="5A1A8C85" w14:textId="2E5CCC12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8DB77D" w14:textId="15CA28BC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* մատակարարումը իրականացվում է համաձայն` ՀՀ կառավարության 2013թ. մայիսի 2 թիվ 502-Ն որոշան,                                                                                                                                                                                                                                          *դեղերի տեղափոխումը, պահեստավորումը և պահպանումը պետք է իրականացվի համաձայն ՀՀ ԱՆ նախարարի 2010թ. 17-Ն հրաման</w:t>
      </w:r>
    </w:p>
    <w:p w14:paraId="22C502D7" w14:textId="078974F7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* պիտանիության ժամկետները գնորդին հանձնման պահին պետք է լինեն հետևյալը`</w:t>
      </w:r>
    </w:p>
    <w:p w14:paraId="7B0AB011" w14:textId="77777777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641184B1" w14:textId="77777777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բ. մինչև 2,5 տարի պիտանիության ժամկետ ունեցող դեղերը հանձնման պահին պետք է ունենան դեղի ընդհանուր պիտանիության ժամկետի 12 ամիս,</w:t>
      </w:r>
    </w:p>
    <w:p w14:paraId="0F1C78B5" w14:textId="4D770217" w:rsid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 դեղը հանձնման պահին կարող է ունենալ դեղի ընդհանուր պիտանիության ժամկետի առնվազն մեկ երկրորդը:  </w:t>
      </w:r>
    </w:p>
    <w:p w14:paraId="0A96C24B" w14:textId="77777777" w:rsidR="002A3963" w:rsidRPr="002246E3" w:rsidRDefault="002A3963" w:rsidP="002A396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7A0B6C">
        <w:rPr>
          <w:rFonts w:ascii="GHEA Grapalat" w:hAnsi="GHEA Grapalat" w:cs="Sylfaen"/>
          <w:b/>
          <w:i/>
          <w:sz w:val="16"/>
          <w:szCs w:val="16"/>
          <w:highlight w:val="yellow"/>
          <w:lang w:val="pt-BR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3137953F" w14:textId="77777777" w:rsidR="006F3BE3" w:rsidRPr="00CA35AE" w:rsidRDefault="006F3BE3" w:rsidP="006F3BE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tbl>
      <w:tblPr>
        <w:tblW w:w="148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219"/>
        <w:gridCol w:w="1211"/>
        <w:gridCol w:w="3307"/>
        <w:gridCol w:w="851"/>
        <w:gridCol w:w="1417"/>
        <w:gridCol w:w="567"/>
        <w:gridCol w:w="1418"/>
        <w:gridCol w:w="20"/>
        <w:gridCol w:w="405"/>
        <w:gridCol w:w="20"/>
        <w:gridCol w:w="547"/>
        <w:gridCol w:w="20"/>
        <w:gridCol w:w="2835"/>
        <w:gridCol w:w="104"/>
      </w:tblGrid>
      <w:tr w:rsidR="006F3BE3" w:rsidRPr="00B20DA0" w14:paraId="169E15E1" w14:textId="77777777" w:rsidTr="00B20DA0">
        <w:trPr>
          <w:trHeight w:val="20"/>
        </w:trPr>
        <w:tc>
          <w:tcPr>
            <w:tcW w:w="14855" w:type="dxa"/>
            <w:gridSpan w:val="15"/>
            <w:vAlign w:val="center"/>
          </w:tcPr>
          <w:p w14:paraId="3C6555EC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Товар</w:t>
            </w:r>
          </w:p>
        </w:tc>
      </w:tr>
      <w:tr w:rsidR="006F3BE3" w:rsidRPr="00B20DA0" w14:paraId="1EC72128" w14:textId="77777777" w:rsidTr="00B20DA0">
        <w:trPr>
          <w:gridAfter w:val="1"/>
          <w:wAfter w:w="104" w:type="dxa"/>
          <w:trHeight w:val="20"/>
        </w:trPr>
        <w:tc>
          <w:tcPr>
            <w:tcW w:w="914" w:type="dxa"/>
            <w:vMerge w:val="restart"/>
            <w:vAlign w:val="center"/>
          </w:tcPr>
          <w:p w14:paraId="49BA15BB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ru-RU"/>
              </w:rPr>
              <w:t>по приглашению , предусмотренных дозу номер</w:t>
            </w:r>
          </w:p>
        </w:tc>
        <w:tc>
          <w:tcPr>
            <w:tcW w:w="1219" w:type="dxa"/>
            <w:vMerge w:val="restart"/>
            <w:vAlign w:val="center"/>
          </w:tcPr>
          <w:p w14:paraId="02E07B3B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ru-RU"/>
              </w:rPr>
              <w:t>закупки планом предусмотрено сквозное код` на ОСНОВЕ классификации (КПВ)</w:t>
            </w:r>
          </w:p>
        </w:tc>
        <w:tc>
          <w:tcPr>
            <w:tcW w:w="1211" w:type="dxa"/>
            <w:vMerge w:val="restart"/>
            <w:vAlign w:val="center"/>
          </w:tcPr>
          <w:p w14:paraId="78E4472B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наименование</w:t>
            </w:r>
          </w:p>
        </w:tc>
        <w:tc>
          <w:tcPr>
            <w:tcW w:w="3307" w:type="dxa"/>
            <w:vMerge w:val="restart"/>
            <w:vAlign w:val="center"/>
          </w:tcPr>
          <w:p w14:paraId="688B3A6D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технические характеристики</w:t>
            </w:r>
          </w:p>
        </w:tc>
        <w:tc>
          <w:tcPr>
            <w:tcW w:w="851" w:type="dxa"/>
            <w:vMerge w:val="restart"/>
            <w:vAlign w:val="center"/>
          </w:tcPr>
          <w:p w14:paraId="404D5777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измерения единиц</w:t>
            </w:r>
          </w:p>
        </w:tc>
        <w:tc>
          <w:tcPr>
            <w:tcW w:w="1417" w:type="dxa"/>
            <w:vMerge w:val="restart"/>
            <w:vAlign w:val="center"/>
          </w:tcPr>
          <w:p w14:paraId="72215156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единиц цена/РА драмов</w:t>
            </w:r>
          </w:p>
        </w:tc>
        <w:tc>
          <w:tcPr>
            <w:tcW w:w="567" w:type="dxa"/>
            <w:vMerge w:val="restart"/>
            <w:vAlign w:val="center"/>
          </w:tcPr>
          <w:p w14:paraId="033A39AC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общая цена/РА драмов,</w:t>
            </w:r>
          </w:p>
        </w:tc>
        <w:tc>
          <w:tcPr>
            <w:tcW w:w="1418" w:type="dxa"/>
            <w:vMerge w:val="restart"/>
            <w:vAlign w:val="center"/>
          </w:tcPr>
          <w:p w14:paraId="6BC31E79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общее количество</w:t>
            </w:r>
          </w:p>
        </w:tc>
        <w:tc>
          <w:tcPr>
            <w:tcW w:w="3847" w:type="dxa"/>
            <w:gridSpan w:val="6"/>
            <w:vAlign w:val="center"/>
          </w:tcPr>
          <w:p w14:paraId="3775017E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поставок в</w:t>
            </w:r>
          </w:p>
        </w:tc>
      </w:tr>
      <w:tr w:rsidR="006F3BE3" w:rsidRPr="00B20DA0" w14:paraId="71E3D292" w14:textId="77777777" w:rsidTr="00B20DA0">
        <w:trPr>
          <w:gridAfter w:val="1"/>
          <w:wAfter w:w="104" w:type="dxa"/>
          <w:cantSplit/>
          <w:trHeight w:val="20"/>
        </w:trPr>
        <w:tc>
          <w:tcPr>
            <w:tcW w:w="914" w:type="dxa"/>
            <w:vMerge/>
            <w:vAlign w:val="center"/>
          </w:tcPr>
          <w:p w14:paraId="584FC1F6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219" w:type="dxa"/>
            <w:vMerge/>
            <w:vAlign w:val="center"/>
          </w:tcPr>
          <w:p w14:paraId="06D0F0AF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211" w:type="dxa"/>
            <w:vMerge/>
            <w:vAlign w:val="center"/>
          </w:tcPr>
          <w:p w14:paraId="18AE15C9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3307" w:type="dxa"/>
            <w:vMerge/>
            <w:vAlign w:val="center"/>
          </w:tcPr>
          <w:p w14:paraId="698679F0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851" w:type="dxa"/>
            <w:vMerge/>
            <w:vAlign w:val="center"/>
          </w:tcPr>
          <w:p w14:paraId="6700D5AF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26129130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158A685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418" w:type="dxa"/>
            <w:vMerge/>
            <w:vAlign w:val="center"/>
          </w:tcPr>
          <w:p w14:paraId="30F90C1E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D529F88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адрес</w:t>
            </w:r>
          </w:p>
        </w:tc>
        <w:tc>
          <w:tcPr>
            <w:tcW w:w="567" w:type="dxa"/>
            <w:gridSpan w:val="2"/>
            <w:vAlign w:val="center"/>
          </w:tcPr>
          <w:p w14:paraId="45BF0CEE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подлежащих заказа</w:t>
            </w:r>
          </w:p>
        </w:tc>
        <w:tc>
          <w:tcPr>
            <w:tcW w:w="2855" w:type="dxa"/>
            <w:gridSpan w:val="2"/>
            <w:vAlign w:val="center"/>
          </w:tcPr>
          <w:p w14:paraId="4D5FEF36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Срок</w:t>
            </w:r>
          </w:p>
          <w:p w14:paraId="7468C1E8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</w:tr>
      <w:tr w:rsidR="00B20DA0" w:rsidRPr="00EC3F20" w14:paraId="12685F7C" w14:textId="77777777" w:rsidTr="00B20DA0">
        <w:trPr>
          <w:gridAfter w:val="1"/>
          <w:wAfter w:w="104" w:type="dxa"/>
          <w:cantSplit/>
          <w:trHeight w:val="2592"/>
        </w:trPr>
        <w:tc>
          <w:tcPr>
            <w:tcW w:w="914" w:type="dxa"/>
            <w:vAlign w:val="center"/>
          </w:tcPr>
          <w:p w14:paraId="4C121D74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1</w:t>
            </w:r>
          </w:p>
        </w:tc>
        <w:tc>
          <w:tcPr>
            <w:tcW w:w="1219" w:type="dxa"/>
            <w:vAlign w:val="center"/>
          </w:tcPr>
          <w:p w14:paraId="6E00D310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 w:cs="Calibri"/>
                <w:color w:val="403931"/>
                <w:sz w:val="10"/>
                <w:szCs w:val="12"/>
              </w:rPr>
              <w:t>33181340</w:t>
            </w:r>
          </w:p>
        </w:tc>
        <w:tc>
          <w:tcPr>
            <w:tcW w:w="1211" w:type="dxa"/>
            <w:vAlign w:val="center"/>
          </w:tcPr>
          <w:p w14:paraId="30AE0A8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Периферической указано строительные </w:t>
            </w:r>
          </w:p>
        </w:tc>
        <w:tc>
          <w:tcPr>
            <w:tcW w:w="3307" w:type="dxa"/>
            <w:vAlign w:val="center"/>
          </w:tcPr>
          <w:p w14:paraId="1FD7488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Указано периферической мебель,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доставки системе, сети материал нато, дизайн гибриддля открытого и закрытого сотовый, баров толщина 170µ, авт рабочая длина см, рентгенконтрастная наири, совместим с 0,035" угоди с и 6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адреса с: Тент размерыизделия -тамададля 5,0; 6,0; 7,0 и 8,0 мм, длина не менее 9 размер каждого диаметра для автомобилей, при этом ламината` не более чем на мм, длиннее` не менее чем 220мм: -диаметр 9,0 мм, длина не менее 3 размер при этом ламината` не более чем на мм, длинным` не менее чем в мм: -диаметр 10,0 мм, длина минимум 5 размер при этом ламината` не более чем на мм, длиннее` не менее чем на мм: Договора выполнения этапе должен быть представлен товар у производителя или его представителя по выданной гарантийное письмо,</w:t>
            </w:r>
          </w:p>
        </w:tc>
        <w:tc>
          <w:tcPr>
            <w:tcW w:w="851" w:type="dxa"/>
            <w:vAlign w:val="center"/>
          </w:tcPr>
          <w:p w14:paraId="2106D25E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 w:cs="Sylfaen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1DC119C5" w14:textId="1B501A4C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14066832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30</w:t>
            </w:r>
          </w:p>
        </w:tc>
        <w:tc>
          <w:tcPr>
            <w:tcW w:w="1438" w:type="dxa"/>
            <w:gridSpan w:val="2"/>
            <w:vAlign w:val="center"/>
          </w:tcPr>
          <w:p w14:paraId="54D80088" w14:textId="03284D75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7D994E59" w14:textId="77777777" w:rsidR="00B20DA0" w:rsidRPr="00B20DA0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7D5FB094" w14:textId="77777777" w:rsidR="00B20DA0" w:rsidRPr="00B20DA0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35" w:type="dxa"/>
          </w:tcPr>
          <w:p w14:paraId="5B060E88" w14:textId="2CFB43FC" w:rsidR="00B20DA0" w:rsidRPr="00B20DA0" w:rsidRDefault="00B20DA0" w:rsidP="00B20DA0">
            <w:pPr>
              <w:spacing w:line="0" w:lineRule="atLeast"/>
              <w:jc w:val="both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EC3F20" w14:paraId="04C8B17C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4923D6FD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2</w:t>
            </w:r>
          </w:p>
        </w:tc>
        <w:tc>
          <w:tcPr>
            <w:tcW w:w="1219" w:type="dxa"/>
            <w:vAlign w:val="center"/>
          </w:tcPr>
          <w:p w14:paraId="7EFB7190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403931"/>
                <w:sz w:val="10"/>
                <w:szCs w:val="12"/>
              </w:rPr>
              <w:t>33181340</w:t>
            </w:r>
          </w:p>
        </w:tc>
        <w:tc>
          <w:tcPr>
            <w:tcW w:w="1211" w:type="dxa"/>
            <w:vAlign w:val="center"/>
          </w:tcPr>
          <w:p w14:paraId="0F40905C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Почечной артерии стенты</w:t>
            </w:r>
          </w:p>
        </w:tc>
        <w:tc>
          <w:tcPr>
            <w:tcW w:w="3307" w:type="dxa"/>
            <w:vAlign w:val="center"/>
          </w:tcPr>
          <w:p w14:paraId="3AEED464" w14:textId="77777777" w:rsidR="00B20DA0" w:rsidRPr="00B20DA0" w:rsidRDefault="00B20DA0" w:rsidP="00B20DA0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Пакет одежда периферической,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en-US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типа, ограничен Политике его, препарат дозадля 3мкг/мм2, авт длина 80см и 135см, совместим с 0,014"/0,035" углеродные с: Баллона размерыдля -2,00; 2,50; 3,00; 3,50; 4,00; 5,00 и 6,00мм диаметров для длины,для по меньшей мере 7 размер каждого диаметра для автомобилей, при этом ламината` не более чем 40мм, длиннее` не менее чем на 250мм; -7,00 и 8,00мм диаметров для длиныдля по крайней мере 5 размер каждого диаметра для автомобилей, при этом ламината` не более чем 40мм, длиннее` не менее чем на 150мм; Договора выполнения этапе должен быть представлен товар у производителя или его представителя по выданной гарантийное письмо:</w:t>
            </w:r>
          </w:p>
        </w:tc>
        <w:tc>
          <w:tcPr>
            <w:tcW w:w="851" w:type="dxa"/>
            <w:vAlign w:val="center"/>
          </w:tcPr>
          <w:p w14:paraId="7756D84A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59B49886" w14:textId="6B0D955F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004C407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5</w:t>
            </w:r>
          </w:p>
        </w:tc>
        <w:tc>
          <w:tcPr>
            <w:tcW w:w="1418" w:type="dxa"/>
            <w:vAlign w:val="center"/>
          </w:tcPr>
          <w:p w14:paraId="0851213F" w14:textId="3C30435E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2B751A79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468558BB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04A9E527" w14:textId="4C384668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EC3F20" w14:paraId="35B766AB" w14:textId="77777777" w:rsidTr="00B20DA0">
        <w:trPr>
          <w:gridAfter w:val="1"/>
          <w:wAfter w:w="104" w:type="dxa"/>
          <w:cantSplit/>
          <w:trHeight w:val="3983"/>
        </w:trPr>
        <w:tc>
          <w:tcPr>
            <w:tcW w:w="914" w:type="dxa"/>
            <w:vAlign w:val="center"/>
          </w:tcPr>
          <w:p w14:paraId="224D8AE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lastRenderedPageBreak/>
              <w:t>3</w:t>
            </w:r>
          </w:p>
        </w:tc>
        <w:tc>
          <w:tcPr>
            <w:tcW w:w="1219" w:type="dxa"/>
            <w:vAlign w:val="center"/>
          </w:tcPr>
          <w:p w14:paraId="13D5D9B8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highlight w:val="yellow"/>
                <w:lang w:val="hy-AM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33141137</w:t>
            </w:r>
          </w:p>
        </w:tc>
        <w:tc>
          <w:tcPr>
            <w:tcW w:w="1211" w:type="dxa"/>
            <w:vAlign w:val="center"/>
          </w:tcPr>
          <w:p w14:paraId="0E0E249D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Египет аксессуары пакет периферической</w:t>
            </w:r>
          </w:p>
        </w:tc>
        <w:tc>
          <w:tcPr>
            <w:tcW w:w="3307" w:type="dxa"/>
            <w:vAlign w:val="center"/>
          </w:tcPr>
          <w:p w14:paraId="4F9F5A6D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к.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Пакет одежда периферической,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типа, ограничен Политике его, препарат дозадля мкс/м, авт длина се и се, совместима с 0,014"/0,035" углеродные с: Баллона размеры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՝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-2,00; 2,50; 3,00; 3,50; 4,00; 5,00 и 6,00 мм диаметров для длины,для по меньшей мере 7 размер каждого диаметра для, при этом ламината` не более чем на мм, длиннее` не менее чем на 250мм; -7,00 и 8,00 мм диаметров для длиныдля по крайней мере 5 размер каждого диаметра для автомобилей, при этом ламината` не более чем на мм, длинным` не менее чем на 150мм; Договора выполнения этапе должен быть представлен товар у производителя или его представителя стороны , выданного гарантийного письма</w:t>
            </w:r>
          </w:p>
        </w:tc>
        <w:tc>
          <w:tcPr>
            <w:tcW w:w="851" w:type="dxa"/>
            <w:vAlign w:val="center"/>
          </w:tcPr>
          <w:p w14:paraId="2F5CD4B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1758AD59" w14:textId="22953A08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3FFEEC66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5</w:t>
            </w:r>
          </w:p>
        </w:tc>
        <w:tc>
          <w:tcPr>
            <w:tcW w:w="1418" w:type="dxa"/>
            <w:vAlign w:val="center"/>
          </w:tcPr>
          <w:p w14:paraId="31BFE052" w14:textId="04F30FE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290D6668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021E7B9A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667871EC" w14:textId="4C1A7F90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EC3F20" w14:paraId="2BBB024D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57EA893C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4</w:t>
            </w:r>
          </w:p>
        </w:tc>
        <w:tc>
          <w:tcPr>
            <w:tcW w:w="1219" w:type="dxa"/>
            <w:vAlign w:val="center"/>
          </w:tcPr>
          <w:p w14:paraId="5B9F97D7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403931"/>
                <w:sz w:val="10"/>
                <w:szCs w:val="12"/>
              </w:rPr>
              <w:t>33141211</w:t>
            </w:r>
          </w:p>
        </w:tc>
        <w:tc>
          <w:tcPr>
            <w:tcW w:w="1211" w:type="dxa"/>
            <w:vAlign w:val="center"/>
          </w:tcPr>
          <w:p w14:paraId="1490F32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Сосуды могут инструмента</w:t>
            </w:r>
          </w:p>
        </w:tc>
        <w:tc>
          <w:tcPr>
            <w:tcW w:w="3307" w:type="dxa"/>
            <w:vAlign w:val="bottom"/>
          </w:tcPr>
          <w:p w14:paraId="17CD66D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>Бедренно пульс может инструмент, предназначен для быстрого, безопасного и надежного механического гемостаза для: Простые 3 шага узкое устройство , в которое закрывает и установка в аритмии на якорь и коллагена губкой между: Гомеостаз приобрести в приводятся , в основном, механический якорь-аритмия-коллагеновые сэндвичи через, который заполняется из коллагена каган признакам: Должно быть иными 90 дней в течение: Размер 6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для применимым 6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 7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интересное с, и 8 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для применимым 8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 9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интересное с: Общая длина не более чем в мм, рабочая длина не менее чем в см. в 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CE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сертификата наличие обязательно к:</w:t>
            </w:r>
          </w:p>
        </w:tc>
        <w:tc>
          <w:tcPr>
            <w:tcW w:w="851" w:type="dxa"/>
            <w:vAlign w:val="center"/>
          </w:tcPr>
          <w:p w14:paraId="3DEF95CF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2B52ED28" w14:textId="51DFF6F5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2760F1E6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30</w:t>
            </w:r>
          </w:p>
        </w:tc>
        <w:tc>
          <w:tcPr>
            <w:tcW w:w="1418" w:type="dxa"/>
            <w:vAlign w:val="center"/>
          </w:tcPr>
          <w:p w14:paraId="4D2CBA47" w14:textId="7BB5B1A9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47F318B3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54075BE0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395C79D7" w14:textId="225FCF0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EC3F20" w14:paraId="39B79BF3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40540B9B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5</w:t>
            </w:r>
          </w:p>
        </w:tc>
        <w:tc>
          <w:tcPr>
            <w:tcW w:w="1219" w:type="dxa"/>
            <w:vAlign w:val="center"/>
          </w:tcPr>
          <w:p w14:paraId="734E05A8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33141137</w:t>
            </w:r>
          </w:p>
        </w:tc>
        <w:tc>
          <w:tcPr>
            <w:tcW w:w="1211" w:type="dxa"/>
            <w:vAlign w:val="center"/>
          </w:tcPr>
          <w:p w14:paraId="133C01C2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Аксессуары пакет периферической</w:t>
            </w:r>
          </w:p>
        </w:tc>
        <w:tc>
          <w:tcPr>
            <w:tcW w:w="3307" w:type="dxa"/>
            <w:vAlign w:val="center"/>
          </w:tcPr>
          <w:p w14:paraId="001C2F8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Пакет одежда периферической,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типа, совместимый с 0.014" и 0.035" углеродные с, авт длина 80, 135 и се в соответствии соответствующие углеродные совместимостидля 0,014"/0,035" углеродные с, гидрофильные , с покрытием, по крайней мере, два рентгенконтрастная марки наличие, совместимость 4-р интереса с по соответствующей угоди: Баллона материалдля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PEBA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, размерыдля -1,5 мм диаметра для разной длиныдля по крайней мере 3 размер, при котором ламината` не более чем на мм, длиннее` не меньше , чем ме: -2,0; 2,5; 3,0; 3,5; 4,0 и 5,0 мм диаметров для длины,для по меньшей мере 7 размер каждого диаметра для, при этом ламината` не более чем на мм, длиннее` не менее чем на 250мм: -6,0; 7,0 и 8,0 мм диаметров для длиныдля по крайней мере 8 размер каждого диаметра для автомобилей, при этом ламината` не более чем на 20мм, длинным` не менее чем на 150мм: -9,0; 10,0; 12,0 и 14,0 мм диаметров для длиныдля по крайней мере 6 размер каждого диаметра для автомобилей, при этом ламината` не более чем на 20мм, длинным` не меньше , чем ме:</w:t>
            </w:r>
          </w:p>
        </w:tc>
        <w:tc>
          <w:tcPr>
            <w:tcW w:w="851" w:type="dxa"/>
            <w:vAlign w:val="center"/>
          </w:tcPr>
          <w:p w14:paraId="5458A696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67FBA015" w14:textId="1811FBBC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3B393AD1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60</w:t>
            </w:r>
          </w:p>
        </w:tc>
        <w:tc>
          <w:tcPr>
            <w:tcW w:w="1418" w:type="dxa"/>
            <w:vAlign w:val="center"/>
          </w:tcPr>
          <w:p w14:paraId="1D924110" w14:textId="046D88B3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0ED6D430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6296F2F4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53F35959" w14:textId="2408F372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EC3F20" w14:paraId="2C4874D8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53E69357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6</w:t>
            </w:r>
          </w:p>
        </w:tc>
        <w:tc>
          <w:tcPr>
            <w:tcW w:w="1219" w:type="dxa"/>
            <w:vAlign w:val="center"/>
          </w:tcPr>
          <w:p w14:paraId="4FAF572F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33181340</w:t>
            </w:r>
          </w:p>
        </w:tc>
        <w:tc>
          <w:tcPr>
            <w:tcW w:w="1211" w:type="dxa"/>
            <w:vAlign w:val="center"/>
          </w:tcPr>
          <w:p w14:paraId="14B0731A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Периферической дисплеи</w:t>
            </w:r>
          </w:p>
        </w:tc>
        <w:tc>
          <w:tcPr>
            <w:tcW w:w="3307" w:type="dxa"/>
            <w:vAlign w:val="center"/>
          </w:tcPr>
          <w:p w14:paraId="503C7BC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Матрицы андролог продукции в соответствии с периферической мебель, материалдля кобальт-хрома слияние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L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-605, построенные в нескольких волнистых колецдля их между миронов, доставки систему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, авт длина се и се, совместим с 0.035" угода с, амаретто 6 и р интереса с, катер дистального сегмента педофилию покрытие, имеет рентгенконтрастная маркеров: Тент размерыизделия -тамара` 5,0; 6,0; 7,0; 8,0; 9,0 и 10,0 мм, длина минимум 5 размер каждого диаметров для, при этом ламината` не более чем на мм, длиннее` не менее чем на мм: Продукт питания этапе Продавец должен быть представлен производителя по представляемых соответствия, сертификат, авторизации(гарантия-уполномоченный) письмо, происхождения, сертификат:</w:t>
            </w:r>
          </w:p>
        </w:tc>
        <w:tc>
          <w:tcPr>
            <w:tcW w:w="851" w:type="dxa"/>
            <w:vAlign w:val="center"/>
          </w:tcPr>
          <w:p w14:paraId="3B66024C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5372F87F" w14:textId="7921E881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7CB406A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30</w:t>
            </w:r>
          </w:p>
        </w:tc>
        <w:tc>
          <w:tcPr>
            <w:tcW w:w="1418" w:type="dxa"/>
            <w:vAlign w:val="center"/>
          </w:tcPr>
          <w:p w14:paraId="216F87A3" w14:textId="7FCBF60D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4EB34BC2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4F6E3F9F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538B910D" w14:textId="18B61A9C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EC3F20" w14:paraId="31F46035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72B74321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7</w:t>
            </w:r>
          </w:p>
        </w:tc>
        <w:tc>
          <w:tcPr>
            <w:tcW w:w="1219" w:type="dxa"/>
            <w:vAlign w:val="center"/>
          </w:tcPr>
          <w:p w14:paraId="7B973FD2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33141174</w:t>
            </w:r>
          </w:p>
        </w:tc>
        <w:tc>
          <w:tcPr>
            <w:tcW w:w="1211" w:type="dxa"/>
            <w:vAlign w:val="center"/>
          </w:tcPr>
          <w:p w14:paraId="74785EC9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Аппаратчик коллекции</w:t>
            </w:r>
          </w:p>
        </w:tc>
        <w:tc>
          <w:tcPr>
            <w:tcW w:w="3307" w:type="dxa"/>
            <w:vAlign w:val="center"/>
          </w:tcPr>
          <w:p w14:paraId="48D93CD4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Коллекция состоит из больного мебельдля 310*см-а, трубы металлические 40*40-2 шт., Фото простыни 160*см-а, Само листов для 70*70-а, Лимонный плащ -а, Халат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XL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-2 штармении.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Коллекция имеет отдельные упаковки , и будет стерильнойработы.</w:t>
            </w:r>
          </w:p>
        </w:tc>
        <w:tc>
          <w:tcPr>
            <w:tcW w:w="851" w:type="dxa"/>
            <w:vAlign w:val="center"/>
          </w:tcPr>
          <w:p w14:paraId="50FF7BF0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744287BE" w14:textId="24E1A6E2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375E70E5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100</w:t>
            </w:r>
          </w:p>
        </w:tc>
        <w:tc>
          <w:tcPr>
            <w:tcW w:w="1418" w:type="dxa"/>
            <w:vAlign w:val="center"/>
          </w:tcPr>
          <w:p w14:paraId="3D1DD82F" w14:textId="4EAB5BA4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3CFB587E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117EB650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4524DB0D" w14:textId="109FCDFD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036EC3" w:rsidRPr="00EC3F20" w14:paraId="71CF1DC0" w14:textId="77777777" w:rsidTr="009A082C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071BACF8" w14:textId="77777777" w:rsidR="00036EC3" w:rsidRPr="00B20DA0" w:rsidRDefault="00036EC3" w:rsidP="00036EC3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lastRenderedPageBreak/>
              <w:t>8</w:t>
            </w:r>
          </w:p>
        </w:tc>
        <w:tc>
          <w:tcPr>
            <w:tcW w:w="1219" w:type="dxa"/>
            <w:vAlign w:val="center"/>
          </w:tcPr>
          <w:p w14:paraId="161A4182" w14:textId="77777777" w:rsidR="00036EC3" w:rsidRPr="00BA209A" w:rsidRDefault="00036EC3" w:rsidP="00036EC3">
            <w:pPr>
              <w:spacing w:after="300"/>
              <w:jc w:val="center"/>
              <w:rPr>
                <w:rFonts w:ascii="Helvetica" w:hAnsi="Helvetica" w:cs="Helvetica"/>
                <w:color w:val="403931"/>
                <w:sz w:val="19"/>
                <w:szCs w:val="19"/>
              </w:rPr>
            </w:pPr>
            <w:r>
              <w:rPr>
                <w:rFonts w:ascii="Helvetica" w:hAnsi="Helvetica" w:cs="Helvetica"/>
                <w:color w:val="403931"/>
                <w:sz w:val="19"/>
                <w:szCs w:val="19"/>
              </w:rPr>
              <w:br/>
              <w:t>33141224 </w:t>
            </w:r>
            <w:r w:rsidRPr="00BA209A">
              <w:rPr>
                <w:rFonts w:ascii="Helvetica" w:hAnsi="Helvetica" w:cs="Helvetica"/>
                <w:color w:val="403931"/>
                <w:sz w:val="19"/>
                <w:szCs w:val="19"/>
              </w:rPr>
              <w:t>/14</w:t>
            </w:r>
          </w:p>
          <w:p w14:paraId="4BC76628" w14:textId="7F8E6DE1" w:rsidR="00036EC3" w:rsidRPr="00B20DA0" w:rsidRDefault="00036EC3" w:rsidP="00036EC3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211" w:type="dxa"/>
            <w:vAlign w:val="center"/>
          </w:tcPr>
          <w:p w14:paraId="3BA6F1FC" w14:textId="77777777" w:rsidR="00036EC3" w:rsidRPr="00B20DA0" w:rsidRDefault="00036EC3" w:rsidP="00036EC3">
            <w:pPr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электропроводкой генератор</w:t>
            </w:r>
          </w:p>
        </w:tc>
        <w:tc>
          <w:tcPr>
            <w:tcW w:w="3307" w:type="dxa"/>
            <w:vAlign w:val="center"/>
          </w:tcPr>
          <w:p w14:paraId="0E9E2824" w14:textId="77777777" w:rsidR="00036EC3" w:rsidRPr="00B20DA0" w:rsidRDefault="00036EC3" w:rsidP="00036EC3">
            <w:pPr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Высокой эффективностью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Электропроводкой генератор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-н , способной к реализации монополя и диполя хирургических вмешательств большая часть: Оснащен будучи в безопасности с надежными функциямидля его удовлетворить в требованиядля предоставления точность, безопасность и надежность: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Основные особенности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3 Монополий резки режим: Чистый разрез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Pure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Cut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), Смешанный 1 (Смесь 1), Смешанная 2 (Смесь 2)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2 Консультации режим: Омар (Спрей), Принудительное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Forced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1 Диполя выхода: Стандарт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CQM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: Контакта качество контроля системы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Управление: Электропроводкой для ручек и отека планшетные через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Память: Последнего использованного режима, мощности и других параметров хранение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Конфигурация: Мощности и звука быстро регулировать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Работу: Резка и погуляли прерывистый режим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Товара технические характеристики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Вид | Режим | Максимальная выходная мощность (Вт) | Нагрузки сопротивление (</w:t>
            </w:r>
            <w:r w:rsidRPr="00B20DA0">
              <w:rPr>
                <w:rFonts w:ascii="Cambria" w:hAnsi="Cambria" w:cs="Cambria"/>
                <w:color w:val="000000"/>
                <w:sz w:val="10"/>
                <w:szCs w:val="12"/>
              </w:rPr>
              <w:t>Ω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) | 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Модуляция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частота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(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кгц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) | 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Максимальное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выходное напряжение (В.) | Крест-фактор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Crest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Factor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|---|---|---|---|---|---|---|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Монополия | Резки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Cut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 | | | |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Чистый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Pure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Cut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 100 | 500 | -- | 1300 | 1.5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Смешанные 1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Blend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1) | 100 | 500 | 20 | 1400 | 2.0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Смешанные 2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Blend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2) | 100 | 500 | 20 | 1500 | 2.0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Как (Нем) | | | | |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Омар (Спрей) | 90 | 500 | 12-24 | 4800 | 6.3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Принудительное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Forced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 60 | 500 | 25 | 4800 | 5.2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Биолар | Стандарт | 60 | 100 | 20 | 700 | 1.5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Дополнительные данные: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Устройство размер: 265 * 259 * 114 мм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Вес: 7.50 кг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Выходная частота: 416 кгц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Питание напряжение: 100-240 В., 50-60 Гц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Автомобилей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Электропроводкой генератор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Монополия отека зати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Электрический пера подключения кабеля (одноразовое использование)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Отрицательный электрод (пластина)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Медицинский отрицательных электродов, соединительные кабели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Диполя щипцы (пинцет) подключение кабеля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источник Питания шнур — 1 шт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Весдля 7.9 кг</w:t>
            </w:r>
          </w:p>
        </w:tc>
        <w:tc>
          <w:tcPr>
            <w:tcW w:w="851" w:type="dxa"/>
            <w:vAlign w:val="center"/>
          </w:tcPr>
          <w:p w14:paraId="6476AD84" w14:textId="77777777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</w:p>
        </w:tc>
        <w:tc>
          <w:tcPr>
            <w:tcW w:w="1417" w:type="dxa"/>
            <w:vAlign w:val="center"/>
          </w:tcPr>
          <w:p w14:paraId="37EB82E3" w14:textId="1EE7736E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61090173" w14:textId="77777777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1</w:t>
            </w:r>
          </w:p>
        </w:tc>
        <w:tc>
          <w:tcPr>
            <w:tcW w:w="1418" w:type="dxa"/>
            <w:vAlign w:val="center"/>
          </w:tcPr>
          <w:p w14:paraId="31898174" w14:textId="3043F610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03380F78" w14:textId="77777777" w:rsidR="00036EC3" w:rsidRPr="00B20DA0" w:rsidRDefault="00036EC3" w:rsidP="00036EC3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18B61748" w14:textId="77777777" w:rsidR="00036EC3" w:rsidRPr="00B20DA0" w:rsidRDefault="00036EC3" w:rsidP="00036EC3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Под заказ</w:t>
            </w:r>
          </w:p>
        </w:tc>
        <w:tc>
          <w:tcPr>
            <w:tcW w:w="2855" w:type="dxa"/>
            <w:gridSpan w:val="2"/>
          </w:tcPr>
          <w:p w14:paraId="1CA7F0D7" w14:textId="6E2655C3" w:rsidR="00036EC3" w:rsidRPr="00B20DA0" w:rsidRDefault="00036EC3" w:rsidP="00036EC3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</w:tbl>
    <w:p w14:paraId="31B5510D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/>
          <w:i/>
          <w:sz w:val="12"/>
          <w:szCs w:val="12"/>
          <w:lang w:val="pt-BR" w:eastAsia="en-US"/>
        </w:rPr>
        <w:t>* УВЕДОМЛЕНИЕ Все парни оплата будет осуществляться за фактически поставленных товаров количествах.</w:t>
      </w:r>
    </w:p>
    <w:p w14:paraId="13F334C5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ПРИМЕЧАНИЕ: </w:t>
      </w:r>
    </w:p>
    <w:p w14:paraId="743C2342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* поставка осуществляется хасан правительства на 2013 год. 2 мая № 502-Н, орша, *препараты, перемещение, складирование и хранение должны осуществляться в соответствии с МИНИСТЕРСТВА ЮСТИЦИИ министра 2010г. 17-Н приказ</w:t>
      </w:r>
    </w:p>
    <w:p w14:paraId="422195EF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* фитнес сроки покупателю в момент вручения должны быть деталь</w:t>
      </w:r>
    </w:p>
    <w:p w14:paraId="1D81CE83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а. 2,5 года больше срок годности при наличии вручения в данный момент должны иметь по крайней мере 24 месяца, остаточный срок годности, </w:t>
      </w:r>
    </w:p>
    <w:p w14:paraId="17DC4585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б. до 2,5 лет срок годности, имеющих лекарства момент вручения должны иметь препарат в общей годности 12 месяцев,</w:t>
      </w:r>
    </w:p>
    <w:p w14:paraId="7863AF31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г. в отдельных случаях, это э пациентов неотложной предложения для удовлетворения обоснованных необходимость, препарат потребления, установленных для фитнеса короткие сроки, препарат момент вручения может иметь лекарства общего срока годности, по крайней мере, один второй. </w:t>
      </w:r>
    </w:p>
    <w:p w14:paraId="2344EDA1" w14:textId="77777777" w:rsidR="006F3BE3" w:rsidRPr="006F3BE3" w:rsidRDefault="006F3BE3" w:rsidP="006F3BE3">
      <w:pPr>
        <w:ind w:left="709"/>
        <w:rPr>
          <w:rFonts w:ascii="GHEA Grapalat" w:hAnsi="GHEA Grapalat" w:cs="Sylfaen"/>
          <w:b/>
          <w:i/>
          <w:sz w:val="12"/>
          <w:szCs w:val="12"/>
          <w:lang w:val="pt-BR"/>
        </w:rPr>
      </w:pPr>
      <w:r w:rsidRPr="006F3BE3">
        <w:rPr>
          <w:rFonts w:ascii="GHEA Grapalat" w:hAnsi="GHEA Grapalat" w:cs="Sylfaen"/>
          <w:b/>
          <w:i/>
          <w:sz w:val="12"/>
          <w:szCs w:val="12"/>
          <w:highlight w:val="yellow"/>
          <w:lang w:val="pt-BR"/>
        </w:rPr>
        <w:t>Если в период действия договора Заказчиком предмета закупки требование подано не всей партии, то предмета закупки катамаран, остаточные партии в части договор расторгается:</w:t>
      </w:r>
    </w:p>
    <w:p w14:paraId="719DEAC6" w14:textId="5244AF41" w:rsidR="00B20DA0" w:rsidRDefault="00B20DA0" w:rsidP="00CA35AE">
      <w:pPr>
        <w:pStyle w:val="NormalWeb"/>
        <w:rPr>
          <w:rFonts w:ascii="GHEA Grapalat" w:hAnsi="GHEA Grapalat"/>
          <w:bCs/>
          <w:sz w:val="16"/>
          <w:szCs w:val="16"/>
          <w:lang w:val="hy-AM"/>
        </w:rPr>
      </w:pPr>
      <w:bookmarkStart w:id="0" w:name="_GoBack"/>
      <w:bookmarkEnd w:id="0"/>
    </w:p>
    <w:p w14:paraId="30043E3C" w14:textId="2DD453AC" w:rsidR="00B20DA0" w:rsidRDefault="00B20DA0" w:rsidP="00CA35AE">
      <w:pPr>
        <w:pStyle w:val="NormalWeb"/>
        <w:rPr>
          <w:rFonts w:ascii="GHEA Grapalat" w:hAnsi="GHEA Grapalat"/>
          <w:bCs/>
          <w:sz w:val="16"/>
          <w:szCs w:val="16"/>
          <w:lang w:val="hy-AM"/>
        </w:rPr>
      </w:pPr>
    </w:p>
    <w:p w14:paraId="459AB916" w14:textId="5BBB6565" w:rsidR="00B20DA0" w:rsidRDefault="00B20DA0" w:rsidP="00CA35AE">
      <w:pPr>
        <w:pStyle w:val="NormalWeb"/>
        <w:rPr>
          <w:rFonts w:ascii="GHEA Grapalat" w:hAnsi="GHEA Grapalat"/>
          <w:bCs/>
          <w:sz w:val="16"/>
          <w:szCs w:val="16"/>
          <w:lang w:val="hy-AM"/>
        </w:rPr>
      </w:pPr>
    </w:p>
    <w:p w14:paraId="40D894FD" w14:textId="2DDAFAC6" w:rsidR="00CA35AE" w:rsidRPr="00CA35AE" w:rsidRDefault="00CA35AE" w:rsidP="00CA35AE">
      <w:pPr>
        <w:rPr>
          <w:rFonts w:ascii="GHEA Grapalat" w:hAnsi="GHEA Grapalat"/>
          <w:lang w:val="hy-AM"/>
        </w:rPr>
      </w:pPr>
    </w:p>
    <w:p w14:paraId="5EC3B44C" w14:textId="77777777" w:rsidR="00135C0B" w:rsidRPr="0096648F" w:rsidRDefault="00135C0B" w:rsidP="00CA35AE">
      <w:pPr>
        <w:rPr>
          <w:rFonts w:ascii="GHEA Grapalat" w:hAnsi="GHEA Grapalat"/>
          <w:lang w:val="hy-AM"/>
        </w:rPr>
      </w:pPr>
    </w:p>
    <w:sectPr w:rsidR="00135C0B" w:rsidRPr="0096648F" w:rsidSect="00B4523D">
      <w:pgSz w:w="15840" w:h="12240" w:orient="landscape"/>
      <w:pgMar w:top="323" w:right="720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CD"/>
    <w:rsid w:val="000049A4"/>
    <w:rsid w:val="000335C3"/>
    <w:rsid w:val="00036EC3"/>
    <w:rsid w:val="00135C0B"/>
    <w:rsid w:val="00205CAA"/>
    <w:rsid w:val="00225DD8"/>
    <w:rsid w:val="00244D02"/>
    <w:rsid w:val="002934DB"/>
    <w:rsid w:val="002A3963"/>
    <w:rsid w:val="00337910"/>
    <w:rsid w:val="00344BAA"/>
    <w:rsid w:val="003A2CEB"/>
    <w:rsid w:val="004A5FEA"/>
    <w:rsid w:val="004F623B"/>
    <w:rsid w:val="0052213A"/>
    <w:rsid w:val="00575044"/>
    <w:rsid w:val="00577CED"/>
    <w:rsid w:val="005A3D56"/>
    <w:rsid w:val="005D0F84"/>
    <w:rsid w:val="00600C12"/>
    <w:rsid w:val="00613C73"/>
    <w:rsid w:val="00675332"/>
    <w:rsid w:val="006F10A1"/>
    <w:rsid w:val="006F3BE3"/>
    <w:rsid w:val="007B3223"/>
    <w:rsid w:val="007F15C5"/>
    <w:rsid w:val="00837A6A"/>
    <w:rsid w:val="008D4062"/>
    <w:rsid w:val="008D7127"/>
    <w:rsid w:val="0096648F"/>
    <w:rsid w:val="0097385E"/>
    <w:rsid w:val="009D0DAA"/>
    <w:rsid w:val="00A22FDE"/>
    <w:rsid w:val="00AF3750"/>
    <w:rsid w:val="00B20DA0"/>
    <w:rsid w:val="00B97929"/>
    <w:rsid w:val="00BA209A"/>
    <w:rsid w:val="00BC085F"/>
    <w:rsid w:val="00C1210C"/>
    <w:rsid w:val="00C764B0"/>
    <w:rsid w:val="00C83067"/>
    <w:rsid w:val="00CA35AE"/>
    <w:rsid w:val="00CD7737"/>
    <w:rsid w:val="00CF5CE2"/>
    <w:rsid w:val="00D45D9E"/>
    <w:rsid w:val="00DA2ED1"/>
    <w:rsid w:val="00DA7478"/>
    <w:rsid w:val="00DE64D4"/>
    <w:rsid w:val="00E062CE"/>
    <w:rsid w:val="00E83ECD"/>
    <w:rsid w:val="00EC3F20"/>
    <w:rsid w:val="00F27C8E"/>
    <w:rsid w:val="00F72435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7431"/>
  <w15:chartTrackingRefBased/>
  <w15:docId w15:val="{C6F62650-E6B8-41C4-B110-CBDD2C82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5AE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CA3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NormalWeb">
    <w:name w:val="Normal (Web)"/>
    <w:basedOn w:val="Normal"/>
    <w:uiPriority w:val="99"/>
    <w:unhideWhenUsed/>
    <w:rsid w:val="00CA35A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CA35AE"/>
    <w:rPr>
      <w:rFonts w:ascii="Calibri" w:eastAsia="Calibri" w:hAnsi="Calibri" w:cs="Times New Roman"/>
      <w:kern w:val="0"/>
      <w:lang w:val="ru-RU"/>
      <w14:ligatures w14:val="none"/>
    </w:rPr>
  </w:style>
  <w:style w:type="paragraph" w:styleId="BodyText">
    <w:name w:val="Body Text"/>
    <w:basedOn w:val="Normal"/>
    <w:link w:val="BodyTextChar"/>
    <w:rsid w:val="00CA35AE"/>
    <w:pPr>
      <w:spacing w:after="120"/>
    </w:pPr>
    <w:rPr>
      <w:rFonts w:ascii="Times Armenian" w:eastAsia="SimSun" w:hAnsi="Times Armeni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CA35AE"/>
    <w:rPr>
      <w:rFonts w:ascii="Times Armenian" w:eastAsia="SimSun" w:hAnsi="Times Armenian" w:cs="Times New Roman"/>
      <w:kern w:val="0"/>
      <w:sz w:val="18"/>
      <w:szCs w:val="18"/>
      <w:lang w:val="en-US"/>
      <w14:ligatures w14:val="none"/>
    </w:rPr>
  </w:style>
  <w:style w:type="paragraph" w:styleId="FootnoteText">
    <w:name w:val="footnote text"/>
    <w:basedOn w:val="Normal"/>
    <w:link w:val="FootnoteTextChar"/>
    <w:rsid w:val="002A3963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2A3963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character" w:customStyle="1" w:styleId="ypks7kbdpwfgdykd3qb9">
    <w:name w:val="ypks7kbdpwfgdykd3qb9"/>
    <w:basedOn w:val="DefaultParagraphFont"/>
    <w:rsid w:val="00B20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3787</Words>
  <Characters>21587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Anahit Movsesyan</cp:lastModifiedBy>
  <cp:revision>52</cp:revision>
  <dcterms:created xsi:type="dcterms:W3CDTF">2026-03-25T18:03:00Z</dcterms:created>
  <dcterms:modified xsi:type="dcterms:W3CDTF">2026-04-21T10:45:00Z</dcterms:modified>
</cp:coreProperties>
</file>