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ԵԱՍՄ-ԷԱՃԱՊՁԲ-26/23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ԵԱՍՄ-ԷԱՃԱՊՁԲ-26/23</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ԵԱՍՄ-ԷԱՃԱՊՁԲ-26/23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ԵԱՍՄ-ԷԱՃԱՊՁԲ-26/23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ԵԱՍՄ-ԷԱՃԱՊՁԲ-26/23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краска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Акриловая автомобильная краска с отвердителем (токсичное вещество), оранжевого цвета, поставляемая в таре массой 0,8–1,0 кг. Срок годности продукции — не менее 2 (двух) лет с момента поставки. Оттенок поставляемой краски подлежит обязательному согласованию с Заказчиком до осуществления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Акриловая автомобильная краска с отвердителем (токсичное вещество), белого цвета, поставляемая в таре массой 0,8–1,0 кг. Срок годности продукции — не менее 2 (двух) лет с момента поставки. Оттенок поставляемой краски подлежит обязательному согласованию с Заказчиком до осуществления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Акриловая автомобильная краска с отвердителем (токсичное вещество), серого цвета, поставляемая в таре массой 0,8–1,0 кг. Срок годности продукции — не менее 2 (двух) лет с момента поставки. Оттенок поставляемой краски подлежит обязательному согласованию с Заказчиком до осуществления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