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2026.04.23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2</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ԲԿԳԿ-ԷԱՃԱՊՁԲ-26/22</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21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21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Анаит Аракелян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 389689 (ներքին հեռախոսահամար՝ 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ԲԿԳԿ-ԷԱՃԱՊՁԲ-26/22</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2026.04.23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2</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ԲԿԳԿ-ԷԱՃԱՊՁԲ-26/22</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Перестраиваемый фемтосекундный лазер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12:00</w:t>
      </w:r>
      <w:r w:rsidRPr="00CA6E78">
        <w:rPr>
          <w:rFonts w:asciiTheme="minorHAnsi" w:hAnsiTheme="minorHAnsi" w:cstheme="minorHAnsi"/>
          <w:lang w:val="ru-RU"/>
        </w:rPr>
        <w:t>" часов "</w:t>
      </w:r>
      <w:r w:rsidRPr="00CA6E78">
        <w:rPr>
          <w:rFonts w:asciiTheme="minorHAnsi" w:hAnsiTheme="minorHAnsi" w:cstheme="minorHAnsi"/>
        </w:rPr>
        <w:t>21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371.83</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4.9452</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434.37</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2026.05.15. 12:00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ԲԿԳԿ-ԷԱՃԱՊՁԲ-26/22</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ԲԿԳԿ-ԷԱՃԱՊՁԲ-26/22</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ԲԿԳԿ-ԷԱՃԱՊՁԲ-26/22</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ԲԿԳԿ-ԷԱՃԱՊՁԲ-26/22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"ԲԿԳԿ-ԷԱՃԱՊՁԲ-26/22"*</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"ԲԿԳԿ-ԷԱՃԱՊՁԲ-26/22"</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ԲԿԳԿ-ԷԱՃԱՊՁԲ-26/22*.</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ԲԿԳԿ-ԷԱՃԱՊՁԲ-26/22</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"ԲԿԳԿ-ԷԱՃԱՊՁԲ-26/22"</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ԲԿԳԿ-ԷԱՃԱՊՁԲ-26/22*.</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ԲԿԳԿ-ԷԱՃԱՊՁԲ-26/22*</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ԲԿԳԿ-ԷԱՃԱՊՁԲ-26/22</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ԲԿԳԿ-ԷԱՃԱՊՁԲ-26/22</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ԲԿԳԿ-ԷԱՃԱՊՁԲ-26/22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Перестраиваемый фемтосекундный лазер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Спектральный диапазон: нижний предел рабочих длин волн не более 680 нм и верхний предел не менее 1300 нм. Тип лазера: фемтосекундный, с регулируемой центральной частотой. Средняя мощность для отдельных длин волн: не менее 1,5 Вт для длины волны 700 нм, не менее 2,4 Вт для длины волны 800 нм, не менее 3,0 Вт для длины волны 900 нм, не менее 2,7 Вт для длины волны 1000 нм, не менее 2,4 Вт для длины волны 1100 нм, не менее 2,1 Вт для длины волны 1200 нм, не менее 1,5 Вт для длины волны 1300 нм. Длительность импульса: максимум 120 фс. Уровень шума: максимум 0,5%. Частота повторения: от 79,5 МГц до 80,5 МГц. Пространственный режим: TEM00, M² должно быть меньше (лучше) 1,2. Диаметр пучка (1/e²) должен составлять от 0,9 мм до 1,4 мм. Общий угол расходимости пучка: максимум 1,5 мрад. Астигматизм пучка: максимум 20 процентов. Направленность пучка: не более 350 мкрад. Регулируемый спектральный диапазон и рабочая длина волны. Скорость настройки: не менее 50 нм/с. Стабильность: от -1 процента до 1 процента (процент изменения мощности за любой 2-часовой период при максимальном изменении температуры ±1 градус Цельсия после 1 часа прогрева). Линейная поляризация: не менее 500:1 (лучше 500:1). Диапазоны предварительно компенсированной дисперсии: для длины волны 680 нм: от -12000 фВ до -40000 фВ, для длины волны 800 нм: от 0 фВ до -25000 фВ, для длины волны 1050 нм: от 0 фВ до -10000 фВ, для длины волны 1300 нм: от -3000 фВ до -8000 фВ. Интерфейс связи: как минимум RS-232, USB. Вход сигнала синхронизации: разъем типа SMA. Питание устройства: 200-240 В переменного тока, 50 Гц. Максимальная рабочая влажность: не менее 75% относительной влажности, без конденсации. Время прогрева: максимум 60 минут. Система охлаждения: встроенная водяная. Система должна включать встроенный управляющий лазер и не требовать внешнего управляющего лазера. Устройство должно включать программное обеспечение для полного управления лазером, регулировки длины волны, управления мощностью и диагностики. Охлаждающая и антикоррозионная жидкость: не менее 5 литров, смесь CCL105 или CCL2567 или эквивалентная. Жидкость должна обеспечивать эффективное охлаждение и защиту системы от коррозии. Сетчатые фильтры системы охлаждения: не менее 10 шт., с сетчатой структурой, размер отверстий (степень фильтрации) не более 100 микрон. Сменные системы газовой фильтрации: 2 шт. (сменные блоки или комплекты для системы очистки газа). Устройство должно быть новым, неиспользованным, в заводской упаковке. Гарантийный срок: 1 год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ԲԿԳԿ-ԷԱՃԱՊՁԲ-26/22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Манукяна 1. Ереван 0025,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6 месяцев,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ԲԿԳԿ-ԷԱՃԱՊՁԲ-26/22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ԲԿԳԿ-ԷԱՃԱՊՁԲ-26/22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ԲԿԳԿ-ԷԱՃԱՊՁԲ-26/22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