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ՀԳԴ-ԷԱՃԱՊՁԲ-26/8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Прокуратура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В. Саргсян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хозяйственных, санитарно-гигиенических и моющих средств для нужд прокуратуры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Վիկտորիյա Մաշկովսկայա</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v.mashkovskaya@prosecutor.am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010511879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Прокуратура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ՀԳԴ-ԷԱՃԱՊՁԲ-26/8</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Прокуратура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Прокуратура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хозяйственных, санитарно-гигиенических и моющих средств для нужд прокуратуры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хозяйственных, санитарно-гигиенических и моющих средств для нужд прокуратуры РА</w:t>
      </w:r>
      <w:r>
        <w:rPr>
          <w:rFonts w:ascii="Calibri" w:hAnsi="Calibri" w:cstheme="minorHAnsi"/>
          <w:b/>
          <w:lang w:val="ru-RU"/>
        </w:rPr>
        <w:t xml:space="preserve">ДЛЯ НУЖД  </w:t>
      </w:r>
      <w:r>
        <w:rPr>
          <w:rFonts w:ascii="Calibri" w:hAnsi="Calibri" w:cstheme="minorHAnsi"/>
          <w:b/>
          <w:sz w:val="24"/>
          <w:szCs w:val="24"/>
          <w:lang w:val="af-ZA"/>
        </w:rPr>
        <w:t>Прокуратура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ՀԳԴ-ԷԱՃԱՊՁԲ-26/8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v.mashkovskaya@prosecutor.am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хозяйственных, санитарно-гигиенических и моющих средств для нужд прокуратуры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434.37</w:t>
      </w:r>
      <w:r>
        <w:rPr>
          <w:rFonts w:ascii="Calibri" w:hAnsi="Calibri" w:cstheme="minorHAnsi"/>
          <w:szCs w:val="22"/>
        </w:rPr>
        <w:t xml:space="preserve"> драмом, евро </w:t>
      </w:r>
      <w:r>
        <w:rPr>
          <w:rFonts w:ascii="Calibri" w:hAnsi="Calibri" w:cstheme="minorHAnsi"/>
          <w:lang w:val="af-ZA"/>
        </w:rPr>
        <w:t>4.9452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Прокуратура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"ՀԳԴ-ԷԱՃԱՊՁԲ-26/8"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Прокуратура Республики Армения*(далее — Заказчик) процедуре закупок под кодом ՀԳԴ-ԷԱՃԱՊՁԲ-26/8*.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"ՀԳԴ-ԷԱՃԱՊՁԲ-26/8"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Прокуратура Республики Армения*(далее — Заказчик) процедуре закупок под кодом ՀԳԴ-ԷԱՃԱՊՁԲ-26/8*.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ՀԳԴ-ԷԱՃԱՊՁԲ-26/8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туалета в пластиковом контейнере, вес- 1 литр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III кварт.- до 31.07.2026г. IV кварт.- до 31.10.2026г.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