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վաճառողը Երևան քաղաքի բոլոր վարչական շրջաններում ինչպես նաև բոլոր մարզերում ՝ գլխավոր ճանապարհների՝ հանրապետական կամ մարզային նշանակության, պետք է ունենան լցակայաններ, որոնց հասցեները պայմանագրի կնքման փուլում պետք է ներկայացնի Գնորդին։ Մատակարարումը ըստ պատվերի։ Կտրանները պետք է ունենան առնվազն 365 օր պիտանելիության ժամկետ։ Կտրոնների մատակարարումը Գնորդի գտնվելու վայր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Երևան,Ղազար Փարպեցու փող., 22 շենք, բն.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