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ԵԱՍՄ-ԷԱՃԱՊՁԲ-26/26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ԵԱՍՄ-ԷԱՃԱՊՁԲ-26/26</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ԵԱՍՄ-ԷԱՃԱՊՁԲ-26/26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ԵԱՍՄ-ԷԱՃԱՊՁԲ-26/26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ԵԱՍՄ-ԷԱՃԱՊՁԲ-26/26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простой,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 плотность при 15 °С от 720 до 775 кг/м3, содержание серы не более 10 мг/кг, массовая доля кислорода не более 2,7 %, объемная доля окислителей, не более: метанол-3%, этанол-5%, спирт изопропиловый-10%, спирт изобутиловый-10%, спирт тербутиловый-7%, эфиры (С5 и выше)-15%, другие окислители-10%, безопасность, маркировка и упаковка согласно правительству РА 2004 года. «Технический регламент моторных топлив внутреннего сгорания», утвержденный постановлением N 1592 от 11 ноября. Поставка топлива по талонам. Срок действия талонов — не менее 18 месяцев с даты выдачи. 
обслуживание не менее чем на 2-х заправочных станциях всех административных районах города Еревана.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