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Вайкский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Вайкский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- 08917547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- 900342121028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внешний вид: чистый и прозрачный, октановое число определяется методом исследования: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температуре 15 ° C: от 720 до 775 кг/м3 , содержание серы: не более 10 мг/кг, массовая доля кислорода: не более 2,7%, объемная доля окислителей: метанол-3%, этанол-5%, изопропиловый спирт-10%, изобутиловый спирт-10%, триб бутиловый спирт-7%, эфиры (C5 и более)-15 %, прочие окислители-10 %, безопасность, маркировка и упаковка согласно постановлению правительства РА от 2004 года. «технический регламент на моторное топливо внутреннего сгорания, утвержденный решением № 1592-н от 11 ноября: Поставка товара осуществляется за счет средств поставщика по адресу: Вайк, Шаумян 18, в электронном виде. У поставщика должна быть заправочная станция в районе города Вайк.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Вайк, Шаумян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календарный день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