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ՆՀՊ-ԷԱՃԱՊՁԲ-2026/26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Նոր Հաճնի պոլիկլինիկա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Կոտայքի մարզ, ք. Նոր Հաճըն,Տոռոզյան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ЗАО «Нор-Хачнская поликлиника»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Նոր Հաճնի պոլիկլինիկա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ՆՀՊ-ԷԱՃԱՊՁԲ-2026/26</w:t>
      </w:r>
      <w:r>
        <w:rPr>
          <w:rFonts w:ascii="Calibri" w:hAnsi="Calibri" w:cstheme="minorHAnsi"/>
          <w:i/>
        </w:rPr>
        <w:br/>
      </w:r>
      <w:r>
        <w:rPr>
          <w:rFonts w:ascii="Calibri" w:hAnsi="Calibri" w:cstheme="minorHAnsi"/>
          <w:szCs w:val="20"/>
          <w:lang w:val="af-ZA"/>
        </w:rPr>
        <w:t>2026.05.06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Նոր Հաճնի պոլիկլինիկա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Նոր Հաճնի պոլիկլինիկա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ЗАО «Нор-Хачнская поликлиника»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ЗАО «Нор-Хачнская поликлиника» в 2026 году.</w:t>
      </w:r>
      <w:r>
        <w:rPr>
          <w:rFonts w:ascii="Calibri" w:hAnsi="Calibri" w:cstheme="minorHAnsi"/>
          <w:b/>
          <w:lang w:val="ru-RU"/>
        </w:rPr>
        <w:t xml:space="preserve">ДЛЯ НУЖД  </w:t>
      </w:r>
      <w:r>
        <w:rPr>
          <w:rFonts w:ascii="Calibri" w:hAnsi="Calibri" w:cstheme="minorHAnsi"/>
          <w:b/>
          <w:sz w:val="24"/>
          <w:szCs w:val="24"/>
          <w:lang w:val="af-ZA"/>
        </w:rPr>
        <w:t>Նոր Հաճնի պոլիկլինիկա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ՆՀՊ-ԷԱՃԱՊՁԲ-2026/26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ЗАО «Нор-Хачнская поликлиника»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366.5</w:t>
      </w:r>
      <w:r>
        <w:rPr>
          <w:rFonts w:ascii="Calibri" w:hAnsi="Calibri" w:cstheme="minorHAnsi"/>
          <w:szCs w:val="22"/>
        </w:rPr>
        <w:t xml:space="preserve"> драмом, российский рубль </w:t>
      </w:r>
      <w:r>
        <w:rPr>
          <w:rFonts w:ascii="Calibri" w:hAnsi="Calibri" w:cstheme="minorHAnsi"/>
          <w:lang w:val="af-ZA"/>
        </w:rPr>
        <w:t>4.78</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Նոր Հաճնի պոլիկլինիկա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ՆՀՊ-ԷԱՃԱՊՁԲ-2026/26"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Նոր Հաճնի պոլիկլինիկա ՊՓԲԸ*(далее — Заказчик) процедуре закупок под кодом ԿՄ ՆՀՊ-ԷԱՃԱՊՁԲ-2026/26*.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Նոր Հաճնի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ՆՀՊ-ԷԱՃԱՊՁԲ-2026/26"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Նոր Հաճնի պոլիկլինիկա ՊՓԲԸ*(далее — Заказчик) процедуре закупок под кодом ԿՄ ՆՀՊ-ԷԱՃԱՊՁԲ-2026/26*.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Նոր Հաճնի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ՆՀՊ-ԷԱՃԱՊՁԲ-2026/26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обычный /с купонами/ Октановое число, определяемое исследовательским методом: не менее 91. Моторным методом: не менее 81. Содержание свинца: не более 5 мг/дм³. Плотность: при 15 °C: 720-775 кг/м³. Содержание серы: не более 10 мг/кг. Объемная доля углеводородов: не более ароматических - 21%, олефинов - 21%, объемная доля бензола: не более 1%. Массовая доля кислорода: не более 2,7%. Объемная доля окислителей: не более: метанол - 3%, этанол - 5%, изопропиловый спирт - 10%, изобутиловый спирт - 10%, трет-бутиловый спирт - 7%, эфиры (C5 и выше) - 15%, другие окислители - 10%. Поставка по купону (действительно только при покупке в литрах). Безопасность, маркировка и упаковка соответствуют «Техническим регламентам по топливу для двигателей внутреннего сгорания», утвержденным Постановлением Правительства Республики Армения № 1592-Н от 11 ноября 2004 года. Дальность хода до 7 км.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«Поликлиника Нор-ХаЧни»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