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 копировальное оборудование и вспомогательные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ՈՒԱԿ-ԷԱՃԱՊՁԲ-26/57</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 копировальное оборудование и вспомогательные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 копировальное оборудование и вспомогательные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 копировальное оборудование и вспомогательные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оптический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 64Gb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запоминающее устройство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панель управления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делитель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сетевой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FTP 5e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Маршрутизатор((Router)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принтеры
Многофункциональное лазерное устройство - МФУ. Устройство имеет функции копира, сканера, принтера, максимальный формат A4 включительно, черно-белая печать, лазерная технология печати, максимальное разрешение для черно-белой печати 600x600 dpi, скорость печати - не менее 38 страниц в минуту (A4). Количество страниц в месяц - рассчитано на не менее 80 000 (A4), время первой черно-белой печати - не более 6,3 секунд. Имеет возможность автоматической двусторонней печати. ​​Оптическая плотность точки сканера - не менее 600x600 dpi, скорость сканирования - не менее 29 страниц/изображение в минуту (A4). Автоматическая двусторонняя подача бумаги - не менее 50 листов. Максимальное разрешение копирования - 600x600 dpi включительно. Скорость копирования - не менее 38 страниц в минуту (A4), размер увеличения изображения 25-400% включительно. Предполагаемая плотность бумаги 60-175 г/м2 включительно. Объем памяти: Минимум 512 МБ оперативной памяти, частота процессора: не менее 1200 МГц. Интерфейсы: USB 2.0, Ethernet (RJ-45), Wi-Fi, поддержка: PCL 5, PCL 6, PDF: возможность работы с программами для Windows, iOS, Android OS. Дисплей: не менее ЖК-экрана. Заводская сборка и упаковка. Без кода заправки картриджа или вскрытия кода продавцом. Товары должны быть новыми, неиспользованными.
Обязательные условия: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Принтер/копир/сканер: Скорость печати: минимум 40 страниц/минуту, время выхода первой страницы: максимум 6,3 секунды. Автоматическая двусторонняя печать: Процессор: минимум 1,2 ГГц: Минимальный объем памяти: 512 МБ: Формат бумаги: A4: Общая емкость стандартных лотков для бумаги: минимум 350 листов. Качество печати и копирования: не менее 600 x 600 dpi, качество сканирования: не менее 1200 x 1200 dpi: Плотность бумаги: Лоток 1: от 60 до 200 г/м²; Лоток 2: от 60 до 120 г/м²: Сетевые возможности: встроенный 1 высокоскоростной USB 2.0; 1 задний USB-порт; 1 передний USB-порт; сеть Gigabi Ethernet LAN 10/100/1000BASE-T; 802.3az(EEE); Радиомодуль Wi-Fi 802.11b/g/n / 2,4 / 5 ГГц + BLE: Скорость сканирования черным: минимум 29 стр./мин, возможность двустороннего сканирования за один проход. Формат бумаги в АПД: максимум 216 x 356 мм, минимум 102 x 152 мм, минимальная емкость АПД 50 листов. Языки печати: HP PCL 6, HP PCL 5e, эмуляция HP Postscript уровня 3, PDF, URF, Native Office, PWG Raster. Все необходимые кабели должны быть в комплекте. Оригинальный картридж должен быть в заводской комплектации, минимальный ресурс печати 3050 страниц. Минимальная месячная емкость печати 80000 листов. Источник питания: 220-240 Вольт/50-60 Герц, вилка: биполярная. Товары должны быть новыми (неиспользованными). Гарантийное обслуживание предоставляется в официальном сервисном центре производителя (предоставляется по приглашению, при предъявлении технических характеристик предлагаемого продукта также указываются данные сервисного центра) или путем предоставления сертификационного письма (MAF или DAF) от производителя/импортера.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с технологией SSD, общей емкостью не менее 2 ТБ. Должен обеспечивать высокую надежность и быть рассчитан на непрерывную работу. Интерфейс: SATA (в зависимости от конфигурации сервера), обеспечивающий высокую скорость и стабильность передачи данных. Должен поддерживать технологии защиты целостности данных (например, защита от потери питания, сквозная защита данных).
Устройство должно быть совместимо с серверными средами и обеспечивать высокую производительность.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серверного класса: общая емкость не менее 3000 ГБ (3 ТБ). Должен обеспечивать высокую надежность и быть рассчитан на непрерывную работу. Интерфейс: SATA III (в зависимости от конфигурации сервера), скорость вращения: не менее 7200 об/мин. Должен обеспечивать стабильность и надежность передачи данных.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сетевой коммутатор 10 Гбит/с с 24 портами.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патч-корд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флешка 64Gb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64 ГБ. Интерфейс: USB Type-A, поддерживает скорость не ниже USB 3.2 Gen1 (совместим с USB 3.1/3.0/2.0). Скорость чтения: не менее 220 МБ/с. Скорость записи: не менее 100 МБ/с. Совместимость: не менее Windows, macOS, ChromeOS, Linux.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запоминающее устройство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Pro Liant HP ML350 Gen10 (DDR4) 16 ГБ
Тип - DDR4 HP, SAMSUNG, Hynix (M393A2K43BB1-CTD7Y) для сервера 815100-B21-16GB Общая емкость - 16 ГБ 2Rx8 PC4-2666V-RE1-12-D81 Характеристики памяти - ECC-память, регистровая Количество каналов - 288. Гарантия 1 год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разъем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Кабельная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19-дюймовая металлическая патч-панель высотой 1U для серверных стоек, предназначенная для централизованного подключения, организации и коммутации сетевых кабелей (Cat5e, Cat6, Cat7).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панель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19-дюймовая горизонтальная металлическая панель для организации кабелей высотой 1U черного цвета, предназначенная для серверных стоек, обеспечивает упорядоченное размещение, прокладку и крепление сетевых и электрических кабелей.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делитель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распределения питания для серверной стойки (PDU для монтажа в стойку)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Bluetooth-мышь, подключение: Bluetooth 4.0 или выше, оптический сенсор, разрешение: ~800 DPI, 3 кнопки (левая/правая/прокрутка), разъем для зарядки USB-C или micro-USB, совместимость с системами Windows/macOS/Linux, питание от батареи: большой рабочий диапазон, черный или другой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USB-мышь, тип подключения: проводной (USB), оптический сенсор, разрешение: ~800 DPI, 3 кнопки (левая/правая/прокрутка), разъем USB A, черный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Беспроводная клавиатура с подключением Bluetooth, полноразмерная раскладка QWERTY и цифровая клавиатура, совместима с системами Windows/macOS, работает от батареи или от аккумулятора,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Проводная клавиатура с USB-разъемом, полная раскладка QWERTY и цифровая клавиатура, совместимая с системами Windows/macOS, стандартная раскладка на 104/105 клавиш, черный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27 дюймов
Производитель: Philips, AOC или Lenovo
Размер экрана: 27 дюймов (68,6 см), матрица IPS (W-LED), разрешение: 1920×1080 (16:9), частота обновления: до 120 Гц, время отклика: 1 мс (MPRT) / 4 мс (GtG), яркость: 300 кд/м², контрастность: 1500:1, углы обзора: 178°/178°, цветовой охват: 16,7 миллионов цветов, антибликовое покрытие: антибликовое (3H, 25% дымка), входы: 1×HDMI 1.4 и 1×VGA, встроенные стереодинамики, возможность крепления VESA, технологии защиты глаз: LowBlue и Flicker-free, поддержка AMD FreeSync, рассчитан на непрерывную работу, рабочая температура: 0°C – 40°C: минимум 1 год Гарантия производителя.
Гарантийное обслуживание осуществляется авторизованным официальным сервисным центром производителя на территории Республики Армения.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сетевой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Ethernet-патч-корд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FTP 5e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FTP 5E
Сетевой кабель Cat 5E класса F/UTP с проводником 24AWG (0,50 мм), внешней оболочкой из полиэтилена, черного цвета, длиной 305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Маршрутизатор((Router)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CCR2004-16G-2S+ Backup
Высокопроизводительный центральный маршрутизатор (маршрутизатор Mikrotik) для корпоративных приложений. Устройство должно иметь не менее 16 портов Gigabit Ethernet RJ-45 10/100/1000 Мбит/с и не менее 2 портов SFP+ 10 Гбит/с, 64-битный многоядерный процессор с не менее чем 4 ядрами, оперативную память не менее 4 ГБ, встроенную память не менее 128 МБ NAND или эквивалентную, поддержку аппаратного ускорения пересылки пакетов, полную поддержку маршрутизации уровня 3 (статическая маршрутизация, OSPF, BGP, RIP), VLAN (802.1Q), поддержку MPLS и VRRP, возможности брандмауэра и NAT, инструменты QoS и управления трафиком, поддержку VPN (IPsec, L2TP, PPTP, SSTP или эквивалентные), поддержку SNMP и удаленного управления (CLI/веб-интерфейс), высокую пропускную способность. Общая пропускная способность пересылки данных составляет не менее 10 Гбит/с, устройство рассчитано на круглосуточную непрерывную работу, питание: переменный ток 100–240 В. Гарантия производителя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Intel Core i7/оперативная память 16 ГБ/512 ГБ
производитель должен быть Asus, с процессором Intel Core i7 13-го поколения, 16 ГБ оперативной памяти и твердотельным накопителем NVMe объемом 512 ГБ, гигабитным Ethernet-соединением, как минимум 4 разъемами USB и портом HDMI, совместимый с операционной системой Windows 11 или аналогичной, с гарантией не менее 1 года.
Гарантийное обслуживание предоставляется в авторизованном сервисном центре производителя на территории Республики Армения. Сертификат MAF или DAF, выданный в Республике Армения, должен быть предоставлен на этапе поставки.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