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АBH-EAAPDzB-26/78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АBH-EAAPDzB-26/78</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АBH-EAAPDzB-26/78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АBH-EAAPDzB-26/78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цетановое число не менее 51, цетановое число не менее 46, плотность при 15°C от 820 до 845 кг/м³, содержание серы не более 350 мг/кг, температура вспышки не ниже 55°C, содержание углерода в 10% осадка не более 0,3%, вязкость при 40°C от 2,0 до 4,5 мм²/с, температура помутнения не выше 0°C,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Условия поставки: поставка по купонам через автозаправочные станции, расположенные на административной территории общины Абовян. Купоны должны быть действительны в течение 2026-2027 годов.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со дня вступления в силу договора между сторонами до 30 декабря указанного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