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Ծածկոցով ըմբշամարտի գորգի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Ծածկոցով ըմբշամարտի գորգի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Ծածկոցով ըմբշամարտի գորգի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Ծածկոցով ըմբշամարտի գորգի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ՇԻՐԱԿԻ ՄԱՐԶԻ ԱԽՈՒՐՅԱՆԻ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գորգեր մարզումային, ըմբշամարտի միջազգային ֆեդերացիայի UWW-ի նորմերին համապատասխան եռագույն՝ /կապույտ/blue/ ,նարնջագույն/orang/  և մուգ կապույտ/dark blue/ մարզումային ըմբշամարտի գորգ: Ծածկոցը չսահող բարձր որակի ПВХ(поливинилхлорид)  630-650գ/մ2, երկարությունը 15.30մ,լայնությունը 8.30մ։
Նարնջագույն/2/երկու/ մենամարտային  շրջանագծերը` 6մ տրամագիծ 0.6մ հաստությամբ և 1մ տրամագիծ 10սմ հաստությամբ:
Ծածկոցի նյութը իրար է ամրացվելու զոդման(ջերմակցման) եղանակով Ըմբշամարտի ներքնակները  միագույն կամ երկգույն 60 հատ կամ 120մ2՝ НПЭ կամ ППЭ+НПЭ+ППЭ պենոպոլիէթիլենային խտությունը 160-200/մ2, քաշը 22-25կգ/մ3, երկարությունը 2մ, լայնությունը 1մ, բարձրությունը 5-6սմ  , ծածկոցի և ներքնակների եզրերը ամրացվում են կպչուն ժապավենով 5սմ՝ յուրաքանչյուր կողմի վրա 2-ական ծածկոցի երկայնքով դառնալով մեկ մարմին կամ ներքնակների գրկող գրպանիկներով կամ լյուվերսներով  ըստ պատվիրատուի ցանկությամբ:
Պայմանագրի կատարաման փուլում  նշված  ապրանքի համար պարտադիր է ներկայացնել արտադրողից կամ վերջինիս ներկայացուցչից երաշխիքային նամակը կամ համապատասխանության սերտիֆիկատը: Նշված ապրանքի երաշխիքային ժամկետը 730 օր՝ հաշված մատակարարման օրվանից:Ապրանքնեըը պետք է լինեն նոր և չօգտագործված:Ապրանքների տեղափոխումը, բեռնաթափումը և մարզադահլիճում տեղադրումը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նշված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20 օր , բացառությամբ երբ մասնակիցը համաձայն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