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АBH-EAAPDzB-26/79</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 500 Вт, 80+ бронзовый, 8-контактный + 6-контактный разъемы;
Оперативная память — 16 ГБ DDR4 3200 МГц или выше, с металлическим охлаждением; Накопитель — 500 ГБ SSD NVMe PCIe Gen 4, скорость чтения и записи 5000 МБ/с или выше; Процессор — процессор i3 минимум 13-го поколения, базовая частота 3,4 ГГц;
Гарантийный срок — минимум 1 год.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колонки Genius, Logitech или Sony, общая мощность которых не менее 10 Вт (реальная). Гарантийный срок не менее 1 года.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сетевого оборудования, D-link, TP-link, Mikrotik или HP, с 8 портами. Тип: 8-портовый гигабитный Ethernet-коммутатор.
Порты: 8 × RJ45 10/100/1000 Мбит/с.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30-й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30-й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30-й календарный день с даты вступления договора в силу, в порядке, установленном законом.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