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2026.05.25.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ՊԵԿ-ԷԱՃԾՁԲ-2026/5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ՊԵԿ-ԷԱՃԾՁԲ-2026/5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ՊԵԿ-ԷԱՃԾՁԲ-2026/5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ՊԵԿ-ԷԱՃԾՁԲ-2026/5»*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ՊԵԿ-ԷԱՃԾՁԲ-2026/5»*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 ՊԵԿ-ԷԱՃԾՁԲ-2026/5»*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թվով 14 / 263,1 քմ/ աշխատասենյակների և դրանցում առկա գույքի մաքրում
2	ընդհանուր օգտագործման տարածքների՝ մուտքերի,  միջանցքների, աստիճանավանդակների և/կամ այլ տարածքների (այդ թվում՝ դրանցում  առկա գույքի) մաքրում
3	5 հատ /25,7 քմ/ սանհանգույցների մաքրում (2 ժամը մեկ)՝ 6 հատ զուգարանակոնքերի, 4 հատ լվացարանների մաքրում և հատուկ նյութերով ախտահանում, թվով 4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(20 հատ)
6	վարչական շենքերի մուտքերին հարակից տարածքների մաքրում, առավելագույնը՝  330,0 քմ
Շաբաթական մաքրման ծառայություններ
7	սպասարկման և/կամ ընդհանուր սրահների ապակիների (4,5քմ), ապակյա դռների, ինչպես նաև ներքին և արտաքին ցուցանակների մաքրում  /շաբաթը 2 անգամ/
Ամսական մաքրման ծառայություններ
8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9	18 քմ ապակյա վիտրաժների և  ապակեպատ միջնորմների, ինչպես նաև, առկայության դեպքում, ճաղավանդակների, բազրիքների, ճաղաշարերի լվացում
Եռամսյակային մաքրման ծառայություններ
10	աշխատասենյակներում և միջանցքներում գտնվող ջահերի լվացում, մաքրում /փետրվար, մայիս, օգոստոս, նոյեմբեր/
Տարեկան մաքրման ծառայություններ
11	շենքերի ճակատային մասի լվացում (298,0 քմ)՝ տարին մեկ անգամ (հուլիս ամսին)
12	52,1 քմ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ԱՅԼ ՊԱՅՄԱՆՆԵՐ
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	Կատարողը պետք է ապահովի առնվազն մեկ կոնտակտային անձ, որը հասանելի կլինի յուրաքանչյուր օրացույցային օր` շուրջօրյա: 
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	Սանհանգույցի յուրաքանչյուր խցիկում Կատարողը պետք է մշտապես ապահովի սպիտակ գույնի երկշերտ զուգարանի թուղթ
	Մաքրության ծառայությունների իրականացման ընթացքում Կատարողը պարտավոր է օգտագործել SONAX կամ GRASS կամ LIMPIO կամ WURTH կամ MARSHAL ապրանքանիշերի նյութեր
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	Տրամադրված աղբամանները վերադարձի ենթակա չեն:
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1. Գեղարքունիքի մարզ՝
     ա) ք. Սևան, Սայաթ-Նովա-1/1 - մաքրման ենթակա շենքի մակերեսը՝ 226,9 քմ, ճակատային մասի մակերեսը՝ 108,0 քմ, հարկերի թիվը՝ 1,
    բ) ք. Գավառ, Հերոս քաղաք Նովոռոսսիյսկի փող. 4 - մաքրման ենթակա շենքի մակերեսը՝ 297,0 քմ, ճակատային մասի մակերեսը՝ 190,0 քմ, հարկերի թիվը՝ 1։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  1.	ք. Սևան, Սայաթ-Նովա-1/1  2.	 ք. Գավառ, Հերոս քաղաք Նովոռոսսիյսկի փող.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16.06.2026 թվականից` առավելագույնը 157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